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3DC6" w14:textId="77777777" w:rsidR="00B57F62" w:rsidRDefault="00B57F62"/>
    <w:p w14:paraId="6FC2B98E" w14:textId="06FB01EC" w:rsidR="002D5538" w:rsidRPr="00EF5E8F" w:rsidRDefault="001C7C28">
      <w:pPr>
        <w:tabs>
          <w:tab w:val="center" w:pos="4680"/>
        </w:tabs>
        <w:jc w:val="center"/>
        <w:rPr>
          <w:b/>
          <w:bCs/>
          <w:sz w:val="36"/>
          <w:szCs w:val="36"/>
        </w:rPr>
      </w:pPr>
      <w:r w:rsidRPr="00FE4429">
        <w:rPr>
          <w:b/>
          <w:bCs/>
          <w:sz w:val="36"/>
          <w:szCs w:val="36"/>
        </w:rPr>
        <w:t>Cyber Resilient Platforms</w:t>
      </w:r>
    </w:p>
    <w:p w14:paraId="00C29BC2" w14:textId="77777777" w:rsidR="00694516" w:rsidRDefault="00694516" w:rsidP="002D5538">
      <w:pPr>
        <w:ind w:left="720"/>
      </w:pPr>
    </w:p>
    <w:p w14:paraId="1C557A9E" w14:textId="6FFE1042" w:rsidR="002D5538" w:rsidRPr="000136F9" w:rsidRDefault="002D5538" w:rsidP="002D5538">
      <w:pPr>
        <w:ind w:left="720"/>
      </w:pPr>
      <w:r w:rsidRPr="000136F9">
        <w:t xml:space="preserve">adjective: </w:t>
      </w:r>
      <w:r w:rsidRPr="000136F9">
        <w:rPr>
          <w:b/>
          <w:bCs/>
        </w:rPr>
        <w:t>resilient</w:t>
      </w:r>
    </w:p>
    <w:p w14:paraId="164DC6F5" w14:textId="77FAC01B" w:rsidR="002D5538" w:rsidRDefault="002D5538" w:rsidP="002D5538">
      <w:pPr>
        <w:ind w:left="720"/>
      </w:pPr>
      <w:r w:rsidRPr="000136F9">
        <w:t>… able to withstand or recover quickly from difficult conditions.</w:t>
      </w:r>
    </w:p>
    <w:p w14:paraId="69A8D467" w14:textId="77777777" w:rsidR="00694516" w:rsidRDefault="00694516" w:rsidP="002D5538">
      <w:pPr>
        <w:ind w:left="720"/>
      </w:pPr>
    </w:p>
    <w:p w14:paraId="147DC795" w14:textId="74C2BE6A" w:rsidR="00694516" w:rsidRPr="00EF5E8F" w:rsidRDefault="00694516">
      <w:pPr>
        <w:jc w:val="center"/>
        <w:rPr>
          <w:i/>
          <w:iCs/>
          <w:sz w:val="24"/>
          <w:szCs w:val="24"/>
        </w:rPr>
      </w:pPr>
      <w:r w:rsidRPr="003840EA">
        <w:rPr>
          <w:i/>
          <w:iCs/>
          <w:sz w:val="24"/>
          <w:szCs w:val="24"/>
        </w:rPr>
        <w:t xml:space="preserve">Paul England, Ronald Aigner, Andrey Marochko, Dennis Mattoon, Rob </w:t>
      </w:r>
      <w:r w:rsidRPr="000A7F43">
        <w:rPr>
          <w:i/>
          <w:iCs/>
          <w:sz w:val="24"/>
          <w:szCs w:val="24"/>
        </w:rPr>
        <w:t xml:space="preserve">Spiger, and Stefan Thom </w:t>
      </w:r>
    </w:p>
    <w:p w14:paraId="7658BE22" w14:textId="0CE9525B" w:rsidR="004D5F78" w:rsidRPr="00EF5E8F" w:rsidRDefault="004D5F78">
      <w:pPr>
        <w:ind w:left="720"/>
        <w:jc w:val="center"/>
        <w:rPr>
          <w:i/>
          <w:iCs/>
        </w:rPr>
      </w:pPr>
      <w:r w:rsidRPr="003840EA">
        <w:rPr>
          <w:i/>
          <w:iCs/>
        </w:rPr>
        <w:t>Microsoft</w:t>
      </w:r>
      <w:r w:rsidR="00694516" w:rsidRPr="000A7F43">
        <w:rPr>
          <w:i/>
          <w:iCs/>
        </w:rPr>
        <w:t xml:space="preserve"> Corporation</w:t>
      </w:r>
    </w:p>
    <w:p w14:paraId="6E0925DA" w14:textId="77777777" w:rsidR="00694516" w:rsidRPr="004D5F78" w:rsidRDefault="00694516" w:rsidP="001C7C28">
      <w:pPr>
        <w:ind w:left="720"/>
        <w:jc w:val="center"/>
        <w:rPr>
          <w:i/>
        </w:rPr>
      </w:pPr>
    </w:p>
    <w:p w14:paraId="40D66A63" w14:textId="77777777" w:rsidR="00AC7689" w:rsidRPr="00AC7689" w:rsidRDefault="00AC7689" w:rsidP="005721D2">
      <w:pPr>
        <w:pStyle w:val="Heading1"/>
      </w:pPr>
      <w:r>
        <w:t>Summary</w:t>
      </w:r>
    </w:p>
    <w:p w14:paraId="46C20915" w14:textId="4FD7F36C" w:rsidR="00821FE2" w:rsidRDefault="00A13BEE" w:rsidP="00EF7121">
      <w:bookmarkStart w:id="0" w:name="_GoBack"/>
      <w:r>
        <w:t xml:space="preserve">This </w:t>
      </w:r>
      <w:r w:rsidR="002E5860">
        <w:t xml:space="preserve">document is a high-level overview of </w:t>
      </w:r>
      <w:r w:rsidR="00AC7689">
        <w:t xml:space="preserve">The </w:t>
      </w:r>
      <w:r w:rsidR="002D5538">
        <w:t xml:space="preserve">Cyber Resilient Platforms </w:t>
      </w:r>
      <w:r w:rsidR="005C5603">
        <w:t xml:space="preserve">Program </w:t>
      </w:r>
      <w:r w:rsidR="00987C8C" w:rsidRPr="583A51CF">
        <w:t>(</w:t>
      </w:r>
      <w:r w:rsidR="00987C8C">
        <w:t>C</w:t>
      </w:r>
      <w:r w:rsidR="0031054D">
        <w:t>yReP</w:t>
      </w:r>
      <w:r w:rsidR="00987C8C" w:rsidRPr="583A51CF">
        <w:t>)</w:t>
      </w:r>
      <w:r w:rsidR="0071610E" w:rsidRPr="583A51CF">
        <w:t xml:space="preserve"> </w:t>
      </w:r>
      <w:r w:rsidR="002E5860">
        <w:t xml:space="preserve">- </w:t>
      </w:r>
      <w:r w:rsidR="00AC7689">
        <w:t>a Microsoft-led industry initiative to improve the security and resiliency of computers, with particular emphasis on cloud-managed IoT devices.</w:t>
      </w:r>
      <w:r w:rsidR="003857DC">
        <w:t xml:space="preserve">  The </w:t>
      </w:r>
      <w:r w:rsidR="0031054D">
        <w:t>CyReP</w:t>
      </w:r>
      <w:r w:rsidR="0031054D" w:rsidRPr="583A51CF">
        <w:t xml:space="preserve"> </w:t>
      </w:r>
      <w:r w:rsidR="00CA5654">
        <w:t>P</w:t>
      </w:r>
      <w:r w:rsidR="0031054D">
        <w:t>rogram</w:t>
      </w:r>
      <w:r w:rsidR="003857DC">
        <w:t xml:space="preserve"> includes hardware and protocol specific</w:t>
      </w:r>
      <w:r w:rsidR="00821FE2">
        <w:t>ations, as well as open-source software that enables the security features.</w:t>
      </w:r>
    </w:p>
    <w:p w14:paraId="6180B0F8" w14:textId="77C467F0" w:rsidR="00875610" w:rsidRDefault="00CF7815" w:rsidP="00EF7121">
      <w:r>
        <w:t xml:space="preserve">One of the </w:t>
      </w:r>
      <w:r w:rsidR="001C7C28">
        <w:t xml:space="preserve">primary </w:t>
      </w:r>
      <w:r>
        <w:t xml:space="preserve">goals of </w:t>
      </w:r>
      <w:r w:rsidR="00E30DF3">
        <w:t xml:space="preserve">CyReP </w:t>
      </w:r>
      <w:r>
        <w:t xml:space="preserve">is to </w:t>
      </w:r>
      <w:r w:rsidR="00756E5B">
        <w:t>enable</w:t>
      </w:r>
      <w:r w:rsidR="009D50D7">
        <w:t xml:space="preserve"> a rich ecosystem of </w:t>
      </w:r>
      <w:r w:rsidR="00DF385E">
        <w:t xml:space="preserve">hardware and software components that can be used to build systems and devices that meet the requirements of </w:t>
      </w:r>
      <w:r w:rsidR="001C7C28">
        <w:t>NIST SP-800-19</w:t>
      </w:r>
      <w:r w:rsidR="00CA61A4">
        <w:t xml:space="preserve">3 </w:t>
      </w:r>
      <w:r w:rsidR="001C7C28">
        <w:t xml:space="preserve">(DRAFT) </w:t>
      </w:r>
      <w:r w:rsidR="00B6599B" w:rsidRPr="003840EA">
        <w:rPr>
          <w:i/>
          <w:iCs/>
        </w:rPr>
        <w:t>“Platform Firmware Resili</w:t>
      </w:r>
      <w:r w:rsidR="001C7C28" w:rsidRPr="000A7F43">
        <w:rPr>
          <w:i/>
          <w:iCs/>
        </w:rPr>
        <w:t>ency Guidelines.”</w:t>
      </w:r>
    </w:p>
    <w:bookmarkEnd w:id="0"/>
    <w:p w14:paraId="32741F4F" w14:textId="60B98F8A" w:rsidR="00B6599B" w:rsidRPr="00B6599B" w:rsidRDefault="00B6599B" w:rsidP="005721D2">
      <w:pPr>
        <w:pStyle w:val="Heading1"/>
      </w:pPr>
      <w:r w:rsidRPr="00B6599B">
        <w:t>Introduction</w:t>
      </w:r>
      <w:r w:rsidR="00BB1586">
        <w:t xml:space="preserve"> </w:t>
      </w:r>
      <w:r w:rsidR="00B8730B">
        <w:t>to CyReP</w:t>
      </w:r>
    </w:p>
    <w:p w14:paraId="49A13B04" w14:textId="09AD146E" w:rsidR="00B36790" w:rsidRDefault="00CE5045" w:rsidP="00B36790">
      <w:hyperlink r:id="rId8" w:history="1">
        <w:r w:rsidR="00B36790" w:rsidRPr="00CE5045">
          <w:rPr>
            <w:rStyle w:val="Hyperlink"/>
          </w:rPr>
          <w:t>NIST SP</w:t>
        </w:r>
        <w:r w:rsidR="001C7C28" w:rsidRPr="00CE5045">
          <w:rPr>
            <w:rStyle w:val="Hyperlink"/>
          </w:rPr>
          <w:t>-</w:t>
        </w:r>
        <w:r w:rsidR="00B36790" w:rsidRPr="00CE5045">
          <w:rPr>
            <w:rStyle w:val="Hyperlink"/>
          </w:rPr>
          <w:t>800-153</w:t>
        </w:r>
      </w:hyperlink>
      <w:r w:rsidR="00B36790">
        <w:t xml:space="preserve"> </w:t>
      </w:r>
      <w:r w:rsidR="001C7C28">
        <w:t>(DRAFT)</w:t>
      </w:r>
      <w:sdt>
        <w:sdtPr>
          <w:id w:val="1139994171"/>
          <w:citation/>
        </w:sdtPr>
        <w:sdtEndPr/>
        <w:sdtContent>
          <w:r w:rsidR="00BC715E">
            <w:fldChar w:fldCharType="begin"/>
          </w:r>
          <w:r w:rsidR="005B0716">
            <w:instrText xml:space="preserve">CITATION 800_193 \l 1033 </w:instrText>
          </w:r>
          <w:r w:rsidR="00BC715E">
            <w:fldChar w:fldCharType="separate"/>
          </w:r>
          <w:r w:rsidR="005B0716">
            <w:rPr>
              <w:noProof/>
            </w:rPr>
            <w:t xml:space="preserve"> </w:t>
          </w:r>
          <w:r w:rsidR="005B0716" w:rsidRPr="005B0716">
            <w:rPr>
              <w:noProof/>
            </w:rPr>
            <w:t>[1]</w:t>
          </w:r>
          <w:r w:rsidR="00BC715E">
            <w:fldChar w:fldCharType="end"/>
          </w:r>
        </w:sdtContent>
      </w:sdt>
      <w:r w:rsidR="001C7C28">
        <w:t xml:space="preserve"> </w:t>
      </w:r>
      <w:r w:rsidR="00C42237">
        <w:t>identifies the</w:t>
      </w:r>
      <w:r w:rsidR="00B01213">
        <w:t xml:space="preserve"> following three principles for building resilient systems:</w:t>
      </w:r>
    </w:p>
    <w:p w14:paraId="45E3B5B4" w14:textId="73FF169D" w:rsidR="009100A3" w:rsidRDefault="009100A3" w:rsidP="004C7A53">
      <w:pPr>
        <w:ind w:left="720"/>
      </w:pPr>
      <w:r w:rsidRPr="003840EA">
        <w:rPr>
          <w:b/>
          <w:bCs/>
        </w:rPr>
        <w:t>Protection:</w:t>
      </w:r>
      <w:r w:rsidRPr="009100A3">
        <w:t xml:space="preserve"> Mechanisms for ensuring that Platform Firmware code and crit</w:t>
      </w:r>
      <w:r>
        <w:t xml:space="preserve">ical data remain in a state </w:t>
      </w:r>
      <w:r w:rsidRPr="009100A3">
        <w:t>of integrity a</w:t>
      </w:r>
      <w:r w:rsidR="00E30DF3">
        <w:t>nd a</w:t>
      </w:r>
      <w:r w:rsidR="00C302F9">
        <w:t>re protected from corruption</w:t>
      </w:r>
      <w:r w:rsidR="00F05D0F" w:rsidRPr="2C810E68">
        <w:t>.</w:t>
      </w:r>
    </w:p>
    <w:p w14:paraId="6AD33B63" w14:textId="27595A5C" w:rsidR="009100A3" w:rsidRDefault="009100A3" w:rsidP="004C7A53">
      <w:pPr>
        <w:ind w:left="720"/>
      </w:pPr>
      <w:r w:rsidRPr="003840EA">
        <w:rPr>
          <w:b/>
          <w:bCs/>
        </w:rPr>
        <w:t>Detection</w:t>
      </w:r>
      <w:r>
        <w:t xml:space="preserve">: </w:t>
      </w:r>
      <w:r w:rsidRPr="009100A3">
        <w:t>Mechanisms for detecting when Platform Firmware code and critical data hav</w:t>
      </w:r>
      <w:r>
        <w:t>e been</w:t>
      </w:r>
      <w:r w:rsidR="00BB1586">
        <w:t xml:space="preserve"> </w:t>
      </w:r>
      <w:r>
        <w:t xml:space="preserve">corrupted.   </w:t>
      </w:r>
    </w:p>
    <w:p w14:paraId="4033B0C4" w14:textId="28763F1D" w:rsidR="004C7A53" w:rsidRDefault="009100A3" w:rsidP="00C13D28">
      <w:pPr>
        <w:ind w:left="720"/>
      </w:pPr>
      <w:r w:rsidRPr="003840EA">
        <w:rPr>
          <w:b/>
          <w:bCs/>
        </w:rPr>
        <w:t>Recovery</w:t>
      </w:r>
      <w:r>
        <w:t>:</w:t>
      </w:r>
      <w:r w:rsidRPr="009100A3">
        <w:t xml:space="preserve"> Mechanisms for restoring Platform Firmware code and critical d</w:t>
      </w:r>
      <w:r>
        <w:t xml:space="preserve">ata to a state of integrity </w:t>
      </w:r>
      <w:r w:rsidRPr="009100A3">
        <w:t>in the event that any such firmware code or critical data are dete</w:t>
      </w:r>
      <w:r>
        <w:t>cted to have been corrupted,</w:t>
      </w:r>
      <w:r w:rsidRPr="009100A3">
        <w:t xml:space="preserve"> or when forced to recover through an authorized mechanism.</w:t>
      </w:r>
      <w:r>
        <w:t xml:space="preserve">  </w:t>
      </w:r>
    </w:p>
    <w:p w14:paraId="220D765C" w14:textId="3902408E" w:rsidR="00AC7689" w:rsidRDefault="0020266A" w:rsidP="00AC7689">
      <w:r>
        <w:t xml:space="preserve">Well-designed </w:t>
      </w:r>
      <w:r w:rsidR="00AC7689">
        <w:t xml:space="preserve">Internet-connected devices </w:t>
      </w:r>
      <w:r w:rsidR="001C0031" w:rsidRPr="003840EA">
        <w:rPr>
          <w:i/>
          <w:iCs/>
        </w:rPr>
        <w:t>protect</w:t>
      </w:r>
      <w:r w:rsidR="001C0031">
        <w:t xml:space="preserve"> themselves</w:t>
      </w:r>
      <w:r w:rsidR="00AC7689" w:rsidRPr="587C3D3B">
        <w:t xml:space="preserve"> </w:t>
      </w:r>
      <w:r w:rsidR="587C3D3B" w:rsidRPr="587C3D3B">
        <w:t xml:space="preserve">against </w:t>
      </w:r>
      <w:r w:rsidR="003840EA">
        <w:t>cyber-threats</w:t>
      </w:r>
      <w:r w:rsidR="00E703F2">
        <w:t>, and d</w:t>
      </w:r>
      <w:r w:rsidR="00AC7689">
        <w:t xml:space="preserve">evice vendors employ a wide range of </w:t>
      </w:r>
      <w:r w:rsidR="00E703F2">
        <w:t xml:space="preserve">hardware and software-based </w:t>
      </w:r>
      <w:r w:rsidR="00AC7689">
        <w:t>protection technologies to keep system</w:t>
      </w:r>
      <w:r w:rsidR="00E703F2">
        <w:t xml:space="preserve">s secure.  Unfortunately, </w:t>
      </w:r>
      <w:r w:rsidR="00AC7689">
        <w:t>bugs and misconfiguration</w:t>
      </w:r>
      <w:r w:rsidR="00E30DF3">
        <w:t>s</w:t>
      </w:r>
      <w:r w:rsidR="00AC7689" w:rsidRPr="587C3D3B">
        <w:t xml:space="preserve"> </w:t>
      </w:r>
      <w:r w:rsidR="00512533">
        <w:t>still</w:t>
      </w:r>
      <w:r w:rsidR="000526DF">
        <w:t xml:space="preserve"> lead to </w:t>
      </w:r>
      <w:r w:rsidR="00AC7689">
        <w:t xml:space="preserve">damaging exploits.  </w:t>
      </w:r>
      <w:r w:rsidR="00BE2AC7">
        <w:t>A Cyber Resilient Platform contains</w:t>
      </w:r>
      <w:r w:rsidR="00B57A29">
        <w:t xml:space="preserve"> additional</w:t>
      </w:r>
      <w:r w:rsidR="00BE2AC7">
        <w:t xml:space="preserve"> mechanisms that allow </w:t>
      </w:r>
      <w:r w:rsidR="00B57A29">
        <w:t>exploits</w:t>
      </w:r>
      <w:r w:rsidR="009B212D">
        <w:t xml:space="preserve"> and vulnerabilities</w:t>
      </w:r>
      <w:r w:rsidR="00B57A29">
        <w:t xml:space="preserve"> to be </w:t>
      </w:r>
      <w:r w:rsidR="00B57A29" w:rsidRPr="003840EA">
        <w:rPr>
          <w:i/>
          <w:iCs/>
        </w:rPr>
        <w:t>detected</w:t>
      </w:r>
      <w:r w:rsidR="00B57A29">
        <w:t xml:space="preserve">, and for devices to be </w:t>
      </w:r>
      <w:r w:rsidR="00B57A29" w:rsidRPr="003840EA">
        <w:rPr>
          <w:i/>
          <w:iCs/>
        </w:rPr>
        <w:t>recove</w:t>
      </w:r>
      <w:r w:rsidR="00B57A29" w:rsidRPr="000A7F43">
        <w:rPr>
          <w:i/>
          <w:iCs/>
        </w:rPr>
        <w:t>red</w:t>
      </w:r>
      <w:r w:rsidR="00E30DF3">
        <w:t xml:space="preserve"> if they are compromised or hung</w:t>
      </w:r>
      <w:r w:rsidR="00B35612" w:rsidRPr="587C3D3B">
        <w:t>.</w:t>
      </w:r>
    </w:p>
    <w:p w14:paraId="1D38CEEE" w14:textId="26735D28" w:rsidR="001B7B5F" w:rsidRDefault="001B7B5F" w:rsidP="00AC7689">
      <w:r>
        <w:t xml:space="preserve">Mechanisms </w:t>
      </w:r>
      <w:r w:rsidR="00FF2D3B">
        <w:t>for</w:t>
      </w:r>
      <w:r>
        <w:t xml:space="preserve"> detection and recovery are </w:t>
      </w:r>
      <w:r w:rsidR="0029087A">
        <w:t xml:space="preserve">already </w:t>
      </w:r>
      <w:r w:rsidR="00412640">
        <w:t>available</w:t>
      </w:r>
      <w:r w:rsidR="00A521ED">
        <w:t xml:space="preserve"> for some classes of computer platform</w:t>
      </w:r>
      <w:r w:rsidR="00412640">
        <w:t>: for example, Baseboard Management Controllers</w:t>
      </w:r>
      <w:r w:rsidR="00410C84">
        <w:t xml:space="preserve"> (BMCs) and Service Processors (SPs) </w:t>
      </w:r>
      <w:r w:rsidR="00FD24A5">
        <w:t xml:space="preserve">in conjunction with </w:t>
      </w:r>
      <w:r w:rsidR="001C689B">
        <w:lastRenderedPageBreak/>
        <w:t xml:space="preserve">BIOS/UEFI firmware </w:t>
      </w:r>
      <w:r w:rsidR="00410C84">
        <w:t>perform</w:t>
      </w:r>
      <w:r w:rsidR="001C689B">
        <w:t>s</w:t>
      </w:r>
      <w:r w:rsidR="00410C84">
        <w:t xml:space="preserve"> this function in centrally man</w:t>
      </w:r>
      <w:r w:rsidR="00FF0C40">
        <w:t xml:space="preserve">aged data centers and servers. </w:t>
      </w:r>
      <w:r w:rsidR="00410C84">
        <w:t xml:space="preserve">Unfortunately, existing technology is </w:t>
      </w:r>
      <w:r w:rsidR="0045246A">
        <w:t>ill</w:t>
      </w:r>
      <w:r w:rsidR="23A9382D" w:rsidRPr="1289993D">
        <w:t>-</w:t>
      </w:r>
      <w:r w:rsidR="0045246A">
        <w:t xml:space="preserve">suited </w:t>
      </w:r>
      <w:r w:rsidR="00AA29C7">
        <w:t>to</w:t>
      </w:r>
      <w:r w:rsidR="0045246A">
        <w:t xml:space="preserve"> IoT because of cost, power-demands, and the </w:t>
      </w:r>
      <w:r w:rsidR="00780C09">
        <w:t xml:space="preserve">lack of </w:t>
      </w:r>
      <w:r w:rsidR="005A28AD">
        <w:t xml:space="preserve">an </w:t>
      </w:r>
      <w:r w:rsidR="00AA29C7">
        <w:t>out-of-band control network.</w:t>
      </w:r>
      <w:r w:rsidR="00EF1307" w:rsidRPr="1289993D">
        <w:t xml:space="preserve"> </w:t>
      </w:r>
    </w:p>
    <w:p w14:paraId="733E586A" w14:textId="67646F2B" w:rsidR="000F752D" w:rsidRDefault="00FF2D3B" w:rsidP="00AC7689">
      <w:r>
        <w:t>The CyReP</w:t>
      </w:r>
      <w:r w:rsidRPr="79DAA1D9">
        <w:t xml:space="preserve"> </w:t>
      </w:r>
      <w:r w:rsidR="005A4155">
        <w:t>P</w:t>
      </w:r>
      <w:r>
        <w:t xml:space="preserve">rogram seeks to </w:t>
      </w:r>
      <w:r w:rsidR="005A28AD">
        <w:t>enable</w:t>
      </w:r>
      <w:r w:rsidRPr="79DAA1D9">
        <w:t xml:space="preserve"> </w:t>
      </w:r>
      <w:r w:rsidR="005A28AD">
        <w:t>comparable manageability and security for</w:t>
      </w:r>
      <w:r>
        <w:t xml:space="preserve"> the next generation of IoT devices.  </w:t>
      </w:r>
      <w:r w:rsidR="00AA29C7">
        <w:t>CyReP hardware</w:t>
      </w:r>
      <w:r w:rsidR="72860B1A" w:rsidRPr="79DAA1D9">
        <w:t xml:space="preserve"> </w:t>
      </w:r>
      <w:r w:rsidR="00AA29C7">
        <w:t>building</w:t>
      </w:r>
      <w:r w:rsidR="79DAA1D9">
        <w:t>-</w:t>
      </w:r>
      <w:r w:rsidR="00AA29C7">
        <w:t xml:space="preserve">blocks </w:t>
      </w:r>
      <w:r w:rsidR="007976D8">
        <w:t xml:space="preserve">can serve as a foundation for </w:t>
      </w:r>
      <w:r w:rsidR="00AA29C7">
        <w:t xml:space="preserve">building </w:t>
      </w:r>
      <w:r w:rsidR="00003368">
        <w:t xml:space="preserve">enhanced </w:t>
      </w:r>
      <w:r w:rsidR="003B47C8">
        <w:t>firmware and data protection</w:t>
      </w:r>
      <w:r w:rsidR="00003368">
        <w:t>, exploit</w:t>
      </w:r>
      <w:r w:rsidR="00DE0337">
        <w:t>/vulnerability</w:t>
      </w:r>
      <w:r w:rsidR="00003368">
        <w:t xml:space="preserve"> detection, and reliable centrally-managed recovery into </w:t>
      </w:r>
      <w:r w:rsidR="00EF1307">
        <w:t xml:space="preserve">even the tiniest of </w:t>
      </w:r>
      <w:r w:rsidR="00003368">
        <w:t>devices</w:t>
      </w:r>
      <w:r w:rsidR="007666D1" w:rsidRPr="79DAA1D9">
        <w:t>.</w:t>
      </w:r>
      <w:r w:rsidR="001C4E64" w:rsidRPr="79DAA1D9">
        <w:t xml:space="preserve"> </w:t>
      </w:r>
      <w:r w:rsidR="000F752D" w:rsidRPr="79DAA1D9">
        <w:t xml:space="preserve"> </w:t>
      </w:r>
    </w:p>
    <w:p w14:paraId="2DFC264D" w14:textId="77777777" w:rsidR="00542E30" w:rsidRDefault="00542E30" w:rsidP="00542E30">
      <w:r>
        <w:t>CyReP hardware building-blocks can benefit any sort of system software.  A simple MCU running a library OS may use CyReP hardware as the primary security technology.  Devices that use a full-fledged operating system may use CyReP hardware to recover systems when all other cyber-defenses have failed.</w:t>
      </w:r>
    </w:p>
    <w:p w14:paraId="53A9CD7B" w14:textId="64411288" w:rsidR="00AA29C7" w:rsidRDefault="001C4E64" w:rsidP="00AC7689">
      <w:r>
        <w:t>Microsoft is working with industry to standardize CyReP hardware specifications</w:t>
      </w:r>
      <w:r w:rsidR="00E8231D">
        <w:t>: d</w:t>
      </w:r>
      <w:r>
        <w:t xml:space="preserve">raft specifications </w:t>
      </w:r>
      <w:r w:rsidR="00ED3315">
        <w:t xml:space="preserve">include </w:t>
      </w:r>
      <w:hyperlink r:id="rId9" w:history="1">
        <w:r w:rsidR="00ED3315" w:rsidRPr="00204745">
          <w:rPr>
            <w:rStyle w:val="Hyperlink"/>
            <w:noProof/>
          </w:rPr>
          <w:t>Cyber-Resilient Platform Requirements</w:t>
        </w:r>
      </w:hyperlink>
      <w:r w:rsidR="007B72F9">
        <w:t xml:space="preserve"> </w:t>
      </w:r>
      <w:sdt>
        <w:sdtPr>
          <w:id w:val="1031231295"/>
          <w:citation/>
        </w:sdtPr>
        <w:sdtContent>
          <w:r w:rsidR="007B72F9">
            <w:fldChar w:fldCharType="begin"/>
          </w:r>
          <w:r w:rsidR="007B72F9">
            <w:instrText xml:space="preserve"> CITATION Eng17 \l 1033 </w:instrText>
          </w:r>
          <w:r w:rsidR="007B72F9">
            <w:fldChar w:fldCharType="separate"/>
          </w:r>
          <w:r w:rsidR="007B72F9" w:rsidRPr="00AF3C5A">
            <w:rPr>
              <w:noProof/>
            </w:rPr>
            <w:t>[2]</w:t>
          </w:r>
          <w:r w:rsidR="007B72F9">
            <w:fldChar w:fldCharType="end"/>
          </w:r>
        </w:sdtContent>
      </w:sdt>
      <w:r w:rsidR="007B72F9">
        <w:t xml:space="preserve"> and </w:t>
      </w:r>
      <w:hyperlink r:id="rId10" w:history="1">
        <w:r w:rsidR="007B72F9" w:rsidRPr="00070A6A">
          <w:rPr>
            <w:rStyle w:val="Hyperlink"/>
            <w:noProof/>
          </w:rPr>
          <w:t>Hardware Requirements for a Device Identifier Composition Engine</w:t>
        </w:r>
      </w:hyperlink>
      <w:sdt>
        <w:sdtPr>
          <w:id w:val="-1053233856"/>
          <w:citation/>
        </w:sdtPr>
        <w:sdtEndPr/>
        <w:sdtContent>
          <w:r w:rsidR="00AF3C5A">
            <w:fldChar w:fldCharType="begin"/>
          </w:r>
          <w:r w:rsidR="00AF3C5A">
            <w:instrText xml:space="preserve"> CITATION DICE \l 1033 </w:instrText>
          </w:r>
          <w:r w:rsidR="00AF3C5A">
            <w:fldChar w:fldCharType="separate"/>
          </w:r>
          <w:r w:rsidR="00AF3C5A">
            <w:rPr>
              <w:noProof/>
            </w:rPr>
            <w:t xml:space="preserve"> </w:t>
          </w:r>
          <w:r w:rsidR="00AF3C5A" w:rsidRPr="00AF3C5A">
            <w:rPr>
              <w:noProof/>
            </w:rPr>
            <w:t>[3]</w:t>
          </w:r>
          <w:r w:rsidR="00AF3C5A">
            <w:fldChar w:fldCharType="end"/>
          </w:r>
        </w:sdtContent>
      </w:sdt>
      <w:r w:rsidR="007B72F9">
        <w:t>.</w:t>
      </w:r>
    </w:p>
    <w:p w14:paraId="70BD493F" w14:textId="431EA05E" w:rsidR="00E31814" w:rsidRDefault="0012773E" w:rsidP="00AC7689">
      <w:r>
        <w:t xml:space="preserve">CyReP hardware is coupled with CyReP </w:t>
      </w:r>
      <w:r w:rsidR="002042A1">
        <w:t>system-</w:t>
      </w:r>
      <w:r>
        <w:t xml:space="preserve">software to build </w:t>
      </w:r>
      <w:r w:rsidR="00E45DBA">
        <w:t xml:space="preserve">end-to-end </w:t>
      </w:r>
      <w:r>
        <w:t xml:space="preserve">security solutions.  Microsoft </w:t>
      </w:r>
      <w:r w:rsidR="00633549">
        <w:t xml:space="preserve">is open-sourcing portable libraries that can be incorporated into any system software, and is also </w:t>
      </w:r>
      <w:r w:rsidR="00EC5E50">
        <w:t xml:space="preserve">open-sourcing </w:t>
      </w:r>
      <w:r w:rsidR="00D868BB">
        <w:t xml:space="preserve">ports to </w:t>
      </w:r>
      <w:r w:rsidR="00762E59">
        <w:t>pop</w:t>
      </w:r>
      <w:r w:rsidR="00BB50F6">
        <w:t>ular system software</w:t>
      </w:r>
      <w:r w:rsidR="005A28AD">
        <w:t xml:space="preserve"> and devices</w:t>
      </w:r>
      <w:r w:rsidR="00BB50F6">
        <w:t>.</w:t>
      </w:r>
      <w:r w:rsidR="00E02C4F">
        <w:t xml:space="preserve"> </w:t>
      </w:r>
    </w:p>
    <w:p w14:paraId="27421FED" w14:textId="2D81A25C" w:rsidR="001108E0" w:rsidRDefault="006F3029" w:rsidP="00AC7689">
      <w:r>
        <w:t xml:space="preserve">A cornerstone of IoT device security is ongoing </w:t>
      </w:r>
      <w:r w:rsidR="00D40D9A">
        <w:t xml:space="preserve">management, including firmware updates and security configuration changes.  </w:t>
      </w:r>
      <w:r w:rsidR="00886227">
        <w:t xml:space="preserve">CyReP devices support secure and reliable </w:t>
      </w:r>
      <w:r w:rsidR="00477484">
        <w:t>centralized management through CyR</w:t>
      </w:r>
      <w:r w:rsidR="006372D5">
        <w:t>eP protocols.  Microsoft is working to standardize protocols in the Trusted Computing Group (TCG)</w:t>
      </w:r>
      <w:r w:rsidR="00E95A78">
        <w:t xml:space="preserve">.  Microsoft is also </w:t>
      </w:r>
      <w:r w:rsidR="00BB50F6">
        <w:t xml:space="preserve">providing open-source library code that </w:t>
      </w:r>
      <w:r w:rsidR="00E45DBA">
        <w:t xml:space="preserve">implements the standards, which </w:t>
      </w:r>
      <w:r w:rsidR="00BB50F6">
        <w:t>can be inc</w:t>
      </w:r>
      <w:r w:rsidR="00E95A78">
        <w:t>orporated into both clients and servers.</w:t>
      </w:r>
    </w:p>
    <w:p w14:paraId="1074730B" w14:textId="383D616A" w:rsidR="00504F14" w:rsidRDefault="00626FBE" w:rsidP="00AC7689">
      <w:r>
        <w:t xml:space="preserve">Finally, Azure IoT supports </w:t>
      </w:r>
      <w:r w:rsidR="00082CA6">
        <w:t xml:space="preserve">highly scalable and reliable </w:t>
      </w:r>
      <w:hyperlink r:id="rId11" w:history="1">
        <w:r w:rsidR="00082CA6" w:rsidRPr="00D97B26">
          <w:rPr>
            <w:rStyle w:val="Hyperlink"/>
          </w:rPr>
          <w:t>management of CyReP devices</w:t>
        </w:r>
      </w:hyperlink>
      <w:r w:rsidR="00E45DBA">
        <w:t xml:space="preserve">, and the next generation </w:t>
      </w:r>
      <w:r w:rsidR="00E45DBA" w:rsidRPr="00ED3BF2">
        <w:t xml:space="preserve">of Windows IoT </w:t>
      </w:r>
      <w:r w:rsidR="005161B6" w:rsidRPr="00ED3BF2">
        <w:t xml:space="preserve">can use </w:t>
      </w:r>
      <w:r w:rsidR="00E45DBA" w:rsidRPr="00ED3BF2">
        <w:t>CyReP</w:t>
      </w:r>
      <w:r w:rsidR="00ED3BF2">
        <w:t xml:space="preserve"> features</w:t>
      </w:r>
      <w:r w:rsidR="00D451B6">
        <w:t>.</w:t>
      </w:r>
      <w:r w:rsidR="006C238B">
        <w:t xml:space="preserve"> </w:t>
      </w:r>
    </w:p>
    <w:p w14:paraId="70ED839C" w14:textId="1BF112DD" w:rsidR="00767E6A" w:rsidRPr="00767E6A" w:rsidRDefault="005A28AD" w:rsidP="00D8420B">
      <w:pPr>
        <w:pStyle w:val="Heading1"/>
      </w:pPr>
      <w:r>
        <w:t>CyReP Hardware Building-</w:t>
      </w:r>
      <w:r w:rsidR="00767E6A" w:rsidRPr="00767E6A">
        <w:t>Blocks</w:t>
      </w:r>
    </w:p>
    <w:p w14:paraId="775AD983" w14:textId="2FEF95C7" w:rsidR="00443892" w:rsidRDefault="00443892" w:rsidP="00443892">
      <w:r>
        <w:t xml:space="preserve">CyReP hardware building-blocks allow device vendors to establish a small and well-protected </w:t>
      </w:r>
      <w:r w:rsidRPr="003840EA">
        <w:rPr>
          <w:i/>
          <w:iCs/>
        </w:rPr>
        <w:t>Root of Trust for Resiliency (RTRes</w:t>
      </w:r>
      <w:r w:rsidR="00EF1046" w:rsidRPr="00EA0E73">
        <w:rPr>
          <w:i/>
          <w:iCs/>
        </w:rPr>
        <w:t xml:space="preserve"> – “are-tee-rez”</w:t>
      </w:r>
      <w:r w:rsidRPr="00EA0E73">
        <w:rPr>
          <w:i/>
          <w:iCs/>
        </w:rPr>
        <w:t>)</w:t>
      </w:r>
      <w:r>
        <w:t xml:space="preserve"> for the device.  The RTRes enjoys robust protection against malware – both when in persistent storage, and when running.  </w:t>
      </w:r>
      <w:r w:rsidR="00502E18">
        <w:t xml:space="preserve">A CyReP </w:t>
      </w:r>
      <w:r>
        <w:t xml:space="preserve">platform </w:t>
      </w:r>
      <w:r w:rsidR="002A07FF">
        <w:t xml:space="preserve">also </w:t>
      </w:r>
      <w:r>
        <w:t>provide</w:t>
      </w:r>
      <w:r w:rsidR="00502E18">
        <w:t>s</w:t>
      </w:r>
      <w:r>
        <w:t xml:space="preserve"> mechanisms for the RTRes to be regularly scheduled, or invoked on demand by authorized controlling entities.  The exact capabilities of the RTRes are determined by the device vendor, but secure recovery and update are expected to be </w:t>
      </w:r>
      <w:r w:rsidR="004733AD">
        <w:t xml:space="preserve">its </w:t>
      </w:r>
      <w:r>
        <w:t xml:space="preserve">core functions. </w:t>
      </w:r>
      <w:r w:rsidR="007B7EF4">
        <w:t xml:space="preserve">  </w:t>
      </w:r>
    </w:p>
    <w:p w14:paraId="73576C39" w14:textId="77E16228" w:rsidR="00443892" w:rsidRDefault="00443892" w:rsidP="00443892">
      <w:r>
        <w:t xml:space="preserve">The specific </w:t>
      </w:r>
      <w:r w:rsidR="00E75098">
        <w:t xml:space="preserve">hardware resiliency building blocks requirements are specified in </w:t>
      </w:r>
      <w:sdt>
        <w:sdtPr>
          <w:id w:val="-1906829253"/>
          <w:citation/>
        </w:sdtPr>
        <w:sdtEndPr/>
        <w:sdtContent>
          <w:r w:rsidR="00AF3C5A">
            <w:fldChar w:fldCharType="begin"/>
          </w:r>
          <w:r w:rsidR="00AF3C5A">
            <w:instrText xml:space="preserve"> CITATION Eng17 \l 1033 </w:instrText>
          </w:r>
          <w:r w:rsidR="00AF3C5A">
            <w:fldChar w:fldCharType="separate"/>
          </w:r>
          <w:r w:rsidR="00AF3C5A" w:rsidRPr="00AF3C5A">
            <w:rPr>
              <w:noProof/>
            </w:rPr>
            <w:t>[2]</w:t>
          </w:r>
          <w:r w:rsidR="00AF3C5A">
            <w:fldChar w:fldCharType="end"/>
          </w:r>
        </w:sdtContent>
      </w:sdt>
      <w:r w:rsidR="00E75098">
        <w:t xml:space="preserve"> and </w:t>
      </w:r>
      <w:r w:rsidR="005A28AD">
        <w:t xml:space="preserve">are </w:t>
      </w:r>
      <w:r w:rsidR="00E75098">
        <w:t>sketched here.</w:t>
      </w:r>
    </w:p>
    <w:p w14:paraId="7BDFCDCD" w14:textId="656EF304" w:rsidR="00443892" w:rsidRPr="00EF5E8F" w:rsidRDefault="00E75098">
      <w:pPr>
        <w:rPr>
          <w:b/>
          <w:bCs/>
        </w:rPr>
      </w:pPr>
      <w:r w:rsidRPr="003840EA">
        <w:rPr>
          <w:b/>
          <w:bCs/>
        </w:rPr>
        <w:t>Storage</w:t>
      </w:r>
      <w:r w:rsidR="00443892" w:rsidRPr="003840EA">
        <w:rPr>
          <w:b/>
          <w:bCs/>
        </w:rPr>
        <w:t xml:space="preserve"> Protection</w:t>
      </w:r>
      <w:r w:rsidRPr="000A7F43">
        <w:rPr>
          <w:b/>
          <w:bCs/>
        </w:rPr>
        <w:t xml:space="preserve"> Latches</w:t>
      </w:r>
    </w:p>
    <w:p w14:paraId="735BA849" w14:textId="6B7437CD" w:rsidR="00E75098" w:rsidRDefault="00E75098" w:rsidP="00D307B6">
      <w:pPr>
        <w:ind w:left="720"/>
      </w:pPr>
      <w:r>
        <w:t>A “Protection Latch” is an access guard that is (a) open at platform reset, (b) can be closed at any time by running software, and (c) can only be re-opened by a platform reset that passes control back to boot code.  (Other names for protection latches are power-on write protection, and sticky bits.)</w:t>
      </w:r>
    </w:p>
    <w:p w14:paraId="642F0FA1" w14:textId="4210CA55" w:rsidR="00E75098" w:rsidRDefault="00E75098" w:rsidP="00D307B6">
      <w:pPr>
        <w:ind w:left="720"/>
      </w:pPr>
      <w:r>
        <w:lastRenderedPageBreak/>
        <w:t xml:space="preserve">Storage </w:t>
      </w:r>
      <w:r w:rsidR="005A28AD">
        <w:t>write-</w:t>
      </w:r>
      <w:r>
        <w:t xml:space="preserve">protection latches are an extremely powerful building block for building resilient systems.  Early boot code </w:t>
      </w:r>
      <w:r w:rsidR="005A28AD">
        <w:t>is typically</w:t>
      </w:r>
      <w:r>
        <w:t xml:space="preserve"> much simpler than OS/application code, so if early boot code write</w:t>
      </w:r>
      <w:r w:rsidR="009867F0">
        <w:t>-</w:t>
      </w:r>
      <w:r>
        <w:t>protects itself (and other</w:t>
      </w:r>
      <w:r w:rsidR="009867F0">
        <w:t xml:space="preserve"> critical</w:t>
      </w:r>
      <w:r>
        <w:t xml:space="preserve"> programs and state)</w:t>
      </w:r>
      <w:r w:rsidR="005A28AD">
        <w:t xml:space="preserve"> using a storage protection latch</w:t>
      </w:r>
      <w:r>
        <w:t>, then the attack</w:t>
      </w:r>
      <w:r w:rsidR="009867F0">
        <w:t xml:space="preserve"> </w:t>
      </w:r>
      <w:r>
        <w:t xml:space="preserve">surface </w:t>
      </w:r>
      <w:r w:rsidR="009867F0">
        <w:t>of the</w:t>
      </w:r>
      <w:r>
        <w:t xml:space="preserve"> </w:t>
      </w:r>
      <w:r w:rsidR="00785CE0">
        <w:t xml:space="preserve">stored device firmware </w:t>
      </w:r>
      <w:r w:rsidR="009867F0">
        <w:t>becomes</w:t>
      </w:r>
      <w:r w:rsidR="00E45DBA">
        <w:t xml:space="preserve"> tiny.  CyReP devices</w:t>
      </w:r>
      <w:r>
        <w:t xml:space="preserve"> use write-protection latches to protect </w:t>
      </w:r>
      <w:r w:rsidR="00ED1507">
        <w:t xml:space="preserve">the </w:t>
      </w:r>
      <w:r>
        <w:t xml:space="preserve">critical management and resiliency </w:t>
      </w:r>
      <w:r w:rsidR="0052605D">
        <w:t>functions and</w:t>
      </w:r>
      <w:r w:rsidR="005A28AD">
        <w:t xml:space="preserve"> may use latches to protect the entirety of firmware</w:t>
      </w:r>
      <w:r w:rsidR="00ED1507">
        <w:t xml:space="preserve">.  A platform reset (triggered by users, or by a CyReP watchdog timer) ensures that the RTRes can </w:t>
      </w:r>
      <w:r w:rsidR="00D1193E">
        <w:t>be invoked</w:t>
      </w:r>
      <w:r w:rsidR="00ED1507">
        <w:t xml:space="preserve"> </w:t>
      </w:r>
      <w:r w:rsidR="0052605D">
        <w:t xml:space="preserve">reliably </w:t>
      </w:r>
      <w:r w:rsidR="00ED1507">
        <w:t>when needed.</w:t>
      </w:r>
    </w:p>
    <w:p w14:paraId="482E1C16" w14:textId="192EEE3B" w:rsidR="00E75098" w:rsidRDefault="005A28AD" w:rsidP="00D307B6">
      <w:pPr>
        <w:ind w:left="720"/>
      </w:pPr>
      <w:r>
        <w:t>Storage r</w:t>
      </w:r>
      <w:r w:rsidR="00ED1507">
        <w:t xml:space="preserve">ead-protection latches allow device-vendors to provision devices with </w:t>
      </w:r>
      <w:r w:rsidR="00021AB1">
        <w:t xml:space="preserve">cryptographic </w:t>
      </w:r>
      <w:r w:rsidR="00ED1507">
        <w:t xml:space="preserve">keys that are only accessible to early boot code.  Early boot code can derive additional keys that can be used by device firmware to authenticate the device and state.  This is described in more detail in </w:t>
      </w:r>
      <w:r w:rsidR="001565A1">
        <w:t xml:space="preserve"> </w:t>
      </w:r>
      <w:sdt>
        <w:sdtPr>
          <w:id w:val="-1986303351"/>
          <w:citation/>
        </w:sdtPr>
        <w:sdtEndPr/>
        <w:sdtContent>
          <w:r w:rsidR="002E766C">
            <w:fldChar w:fldCharType="begin"/>
          </w:r>
          <w:r w:rsidR="002E766C">
            <w:instrText xml:space="preserve"> CITATION Eng1 \l 1033 </w:instrText>
          </w:r>
          <w:r w:rsidR="002E766C">
            <w:fldChar w:fldCharType="separate"/>
          </w:r>
          <w:r w:rsidR="002E766C" w:rsidRPr="002E766C">
            <w:rPr>
              <w:noProof/>
            </w:rPr>
            <w:t>[4]</w:t>
          </w:r>
          <w:r w:rsidR="002E766C">
            <w:fldChar w:fldCharType="end"/>
          </w:r>
        </w:sdtContent>
      </w:sdt>
      <w:r w:rsidR="00ED1507">
        <w:t>.</w:t>
      </w:r>
      <w:r>
        <w:t xml:space="preserve">  Read-protection latches are a low-cost alternative to dedicated crypto-processors and key-stores.</w:t>
      </w:r>
    </w:p>
    <w:p w14:paraId="7933F429" w14:textId="70FA4BAB" w:rsidR="00ED1507" w:rsidRDefault="00ED1507" w:rsidP="00D307B6">
      <w:pPr>
        <w:ind w:left="720"/>
      </w:pPr>
      <w:r>
        <w:t xml:space="preserve">Many SoCs and some storage controller standards </w:t>
      </w:r>
      <w:r w:rsidR="00311A25">
        <w:t>provide</w:t>
      </w:r>
      <w:r>
        <w:t xml:space="preserve"> write-protection latches that meet CyReP require</w:t>
      </w:r>
      <w:r w:rsidR="00E45DBA">
        <w:t>ments, and Microsoft is working to ensure ubiquity.</w:t>
      </w:r>
      <w:r>
        <w:t xml:space="preserve"> </w:t>
      </w:r>
    </w:p>
    <w:p w14:paraId="491E2A29" w14:textId="7EB87C9D" w:rsidR="00ED1507" w:rsidRPr="00EF5E8F" w:rsidRDefault="00ED1507">
      <w:pPr>
        <w:rPr>
          <w:b/>
          <w:bCs/>
        </w:rPr>
      </w:pPr>
      <w:r w:rsidRPr="003840EA">
        <w:rPr>
          <w:b/>
          <w:bCs/>
        </w:rPr>
        <w:t>A Secure Execution Environment for the Root of Trust for Resiliency</w:t>
      </w:r>
    </w:p>
    <w:p w14:paraId="0691A0E1" w14:textId="6DA2B578" w:rsidR="00ED1507" w:rsidRDefault="00ED1507" w:rsidP="00D307B6">
      <w:pPr>
        <w:ind w:left="720"/>
      </w:pPr>
      <w:r>
        <w:t xml:space="preserve">CyReP devices </w:t>
      </w:r>
      <w:r w:rsidRPr="00296062">
        <w:t>must</w:t>
      </w:r>
      <w:r w:rsidRPr="003840EA">
        <w:rPr>
          <w:i/>
          <w:iCs/>
        </w:rPr>
        <w:t xml:space="preserve"> </w:t>
      </w:r>
      <w:r>
        <w:t>ensure that platform reset returns the device to a state in which early boot code can execute reliably</w:t>
      </w:r>
      <w:r w:rsidR="00E45DBA">
        <w:t xml:space="preserve"> (a</w:t>
      </w:r>
      <w:r>
        <w:t>lmost all platforms implement a reset function that meets these requirements.</w:t>
      </w:r>
      <w:r w:rsidR="00E45DBA">
        <w:t>)</w:t>
      </w:r>
      <w:r w:rsidR="00216E2B">
        <w:t xml:space="preserve">  A platform that </w:t>
      </w:r>
      <w:r w:rsidR="00216E2B" w:rsidRPr="003840EA">
        <w:rPr>
          <w:i/>
          <w:iCs/>
        </w:rPr>
        <w:t>only</w:t>
      </w:r>
      <w:r w:rsidR="00216E2B">
        <w:t xml:space="preserve"> provides a protected environment for early boot code can only perform resiliency functions at boot time.  </w:t>
      </w:r>
    </w:p>
    <w:p w14:paraId="46FEB7B8" w14:textId="194F6305" w:rsidR="00F25121" w:rsidRDefault="00ED1507" w:rsidP="00D307B6">
      <w:pPr>
        <w:ind w:left="720"/>
      </w:pPr>
      <w:r>
        <w:t xml:space="preserve">CyReP devices </w:t>
      </w:r>
      <w:r w:rsidRPr="003840EA">
        <w:rPr>
          <w:i/>
          <w:iCs/>
        </w:rPr>
        <w:t>may</w:t>
      </w:r>
      <w:r>
        <w:t xml:space="preserve"> provide a protected </w:t>
      </w:r>
      <w:r w:rsidR="000C72F5">
        <w:t>post-boot/</w:t>
      </w:r>
      <w:r>
        <w:t xml:space="preserve">run-time execution environment for the RTRes or an RTRes fragment to run.  </w:t>
      </w:r>
      <w:r w:rsidR="00F25121">
        <w:t>Devices that provide a run-time execution environment must also provide a reliable (non-maskable) interrupt mechanism that ensures that it runs periodically.</w:t>
      </w:r>
    </w:p>
    <w:p w14:paraId="30C60845" w14:textId="4BBE58A8" w:rsidR="00ED1507" w:rsidRDefault="00216E2B" w:rsidP="00D307B6">
      <w:pPr>
        <w:ind w:left="720"/>
      </w:pPr>
      <w:r>
        <w:t xml:space="preserve">Essentially all larger microprocessors and some </w:t>
      </w:r>
      <w:r w:rsidR="00E45DBA">
        <w:t>microcontrollers</w:t>
      </w:r>
      <w:r>
        <w:t xml:space="preserve"> provide run-time isolation technologies that meet </w:t>
      </w:r>
      <w:r w:rsidR="00657D77">
        <w:t>CyReP</w:t>
      </w:r>
      <w:r>
        <w:t xml:space="preserve"> requirements.  However, if the RTRes shares the execution environment with other complex </w:t>
      </w:r>
      <w:r w:rsidR="00657D77">
        <w:t>functions</w:t>
      </w:r>
      <w:r>
        <w:t xml:space="preserve"> (e.g. a Trusted Execution Environment (TEE) or an OS or hypervisor)</w:t>
      </w:r>
      <w:r w:rsidR="003A17E1">
        <w:t>,</w:t>
      </w:r>
      <w:r>
        <w:t xml:space="preserve"> then bugs in the other components may impair the reliability of the RTRes.  For this reason, CyReP hardware vendors should provide dedicated resiliency functions, and CyReP </w:t>
      </w:r>
      <w:r w:rsidR="005A28AD">
        <w:t xml:space="preserve">firmware architects </w:t>
      </w:r>
      <w:r>
        <w:t>should only use these functions for the resiliency mission.</w:t>
      </w:r>
    </w:p>
    <w:p w14:paraId="2E14B98A" w14:textId="2593C087" w:rsidR="00216E2B" w:rsidRPr="00EF5E8F" w:rsidRDefault="00216E2B">
      <w:pPr>
        <w:rPr>
          <w:b/>
          <w:bCs/>
        </w:rPr>
      </w:pPr>
      <w:r w:rsidRPr="003840EA">
        <w:rPr>
          <w:b/>
          <w:bCs/>
        </w:rPr>
        <w:t>Watchdog Timers</w:t>
      </w:r>
    </w:p>
    <w:p w14:paraId="2005BE2D" w14:textId="0C294973" w:rsidR="00D307B6" w:rsidRDefault="00D307B6" w:rsidP="001556E3">
      <w:pPr>
        <w:ind w:left="720"/>
      </w:pPr>
      <w:r>
        <w:t xml:space="preserve">Devices that are working properly – not hung, and not infected with malware – </w:t>
      </w:r>
      <w:r w:rsidR="003B686E">
        <w:t xml:space="preserve">will </w:t>
      </w:r>
      <w:r>
        <w:t xml:space="preserve">reliably </w:t>
      </w:r>
      <w:r w:rsidR="003B686E">
        <w:t xml:space="preserve">execute </w:t>
      </w:r>
      <w:r w:rsidR="000E6DD9">
        <w:t>t</w:t>
      </w:r>
      <w:r w:rsidR="001556E3">
        <w:t xml:space="preserve">he </w:t>
      </w:r>
      <w:r>
        <w:t xml:space="preserve">management functions that </w:t>
      </w:r>
      <w:r w:rsidR="001556E3">
        <w:t>their authorized management service instructs the</w:t>
      </w:r>
      <w:r w:rsidR="009D5A6F">
        <w:t>m</w:t>
      </w:r>
      <w:r w:rsidR="001556E3">
        <w:t xml:space="preserve"> to perform</w:t>
      </w:r>
      <w:r w:rsidR="00E45DBA">
        <w:t xml:space="preserve">.  </w:t>
      </w:r>
      <w:r w:rsidR="005A28AD">
        <w:t xml:space="preserve">However, if a device is hung or infected with malware, the device may simply ignore </w:t>
      </w:r>
      <w:r w:rsidR="001567A2">
        <w:t xml:space="preserve">the </w:t>
      </w:r>
      <w:r w:rsidR="005A28AD">
        <w:t xml:space="preserve">request.  </w:t>
      </w:r>
      <w:r w:rsidR="00E45DBA">
        <w:t xml:space="preserve">CyReP </w:t>
      </w:r>
      <w:r>
        <w:t xml:space="preserve">devices </w:t>
      </w:r>
      <w:r w:rsidR="002A7B27">
        <w:t xml:space="preserve">include machinery to ensure that devices can </w:t>
      </w:r>
      <w:r w:rsidR="007052B4">
        <w:t xml:space="preserve">be reliably </w:t>
      </w:r>
      <w:r w:rsidR="00F911DC">
        <w:t>managed</w:t>
      </w:r>
      <w:r w:rsidR="00F41F08">
        <w:t>,</w:t>
      </w:r>
      <w:r>
        <w:t xml:space="preserve"> even when the device is hung or infected with malware.</w:t>
      </w:r>
    </w:p>
    <w:p w14:paraId="6BA4AE90" w14:textId="322812EC" w:rsidR="00216E2B" w:rsidRDefault="00216E2B" w:rsidP="00D307B6">
      <w:pPr>
        <w:ind w:left="720"/>
      </w:pPr>
      <w:r>
        <w:t xml:space="preserve">Devices that </w:t>
      </w:r>
      <w:r w:rsidR="005A28AD">
        <w:t>allow</w:t>
      </w:r>
      <w:r>
        <w:t xml:space="preserve"> easy user-servicing – for example, manual reset or power-</w:t>
      </w:r>
      <w:r w:rsidR="00657D77">
        <w:t>cycling – can build highly resilient and reliably recoverable systems using</w:t>
      </w:r>
      <w:r w:rsidR="00897B01">
        <w:t xml:space="preserve"> just</w:t>
      </w:r>
      <w:r w:rsidR="00657D77">
        <w:t xml:space="preserve"> protection latches and a boot-time secure execution environment.</w:t>
      </w:r>
      <w:r w:rsidR="00D307B6">
        <w:t xml:space="preserve">  </w:t>
      </w:r>
      <w:r w:rsidR="00E45DBA">
        <w:t>Basically</w:t>
      </w:r>
      <w:r w:rsidR="00D307B6">
        <w:t>, a platform reset evicts malware, and the RTRes has a “safe place to stand” to perform repair or servicing.</w:t>
      </w:r>
      <w:r w:rsidR="00657D77">
        <w:t xml:space="preserve">  </w:t>
      </w:r>
    </w:p>
    <w:p w14:paraId="114B73CB" w14:textId="55BA4E17" w:rsidR="00897B01" w:rsidRDefault="00657D77" w:rsidP="00D307B6">
      <w:pPr>
        <w:ind w:left="720"/>
      </w:pPr>
      <w:r>
        <w:lastRenderedPageBreak/>
        <w:t xml:space="preserve">Devices that require reliable </w:t>
      </w:r>
      <w:r w:rsidRPr="003840EA">
        <w:rPr>
          <w:i/>
          <w:iCs/>
        </w:rPr>
        <w:t>remote</w:t>
      </w:r>
      <w:r>
        <w:t xml:space="preserve"> management need a mechanism that </w:t>
      </w:r>
      <w:r w:rsidR="00E45DBA">
        <w:t xml:space="preserve">an authorized cloud service can use to </w:t>
      </w:r>
      <w:r>
        <w:t>invoke the RTRes when needed.  This requirement is challenging because few devices can afford a separate highly-protected out-of-band network connection</w:t>
      </w:r>
      <w:r w:rsidR="00BA2AE0">
        <w:t xml:space="preserve"> (such as those employed by Service Processors)</w:t>
      </w:r>
      <w:r w:rsidR="00897B01">
        <w:t xml:space="preserve">, which implies the need for </w:t>
      </w:r>
      <w:r>
        <w:t>mechanism</w:t>
      </w:r>
      <w:r w:rsidR="00897B01">
        <w:t>s that work</w:t>
      </w:r>
      <w:r>
        <w:t xml:space="preserve"> reliably even</w:t>
      </w:r>
      <w:r w:rsidR="00E45DBA">
        <w:t xml:space="preserve"> when</w:t>
      </w:r>
      <w:r>
        <w:t xml:space="preserve"> the firmware that manages the network stack is hung or compromised.  </w:t>
      </w:r>
    </w:p>
    <w:p w14:paraId="0DDC50E6" w14:textId="26F3759B" w:rsidR="00547719" w:rsidRDefault="009C15AC" w:rsidP="00D307B6">
      <w:pPr>
        <w:ind w:left="720"/>
      </w:pPr>
      <w:r>
        <w:t xml:space="preserve">The </w:t>
      </w:r>
      <w:r w:rsidR="00897B01">
        <w:t xml:space="preserve">approach to reliable remote management supported by CyReP devices is based on the idea of a cryptographically protected </w:t>
      </w:r>
      <w:r w:rsidR="00674BE1">
        <w:t>“</w:t>
      </w:r>
      <w:r w:rsidR="00897B01">
        <w:t>execution lease</w:t>
      </w:r>
      <w:r w:rsidR="00674BE1">
        <w:t>”</w:t>
      </w:r>
      <w:r w:rsidR="00897B01">
        <w:t xml:space="preserve"> </w:t>
      </w:r>
      <w:r>
        <w:t xml:space="preserve">that is periodically granted by the management service.  </w:t>
      </w:r>
      <w:r w:rsidR="00E45DBA">
        <w:t xml:space="preserve">A device that uses an execution lease </w:t>
      </w:r>
      <w:r w:rsidR="00897B01">
        <w:t xml:space="preserve">will continue performing its normal function as long as the authorized cloud controller periodically issues a </w:t>
      </w:r>
      <w:r w:rsidR="00897B01" w:rsidRPr="003840EA">
        <w:rPr>
          <w:i/>
          <w:iCs/>
        </w:rPr>
        <w:t>deferral ticket</w:t>
      </w:r>
      <w:r w:rsidR="00897B01">
        <w:t xml:space="preserve"> that </w:t>
      </w:r>
      <w:r w:rsidR="00E45DBA">
        <w:t>authorizes</w:t>
      </w:r>
      <w:r w:rsidR="00897B01">
        <w:t xml:space="preserve"> another quantum of execution (e.g. an hour, a day, a </w:t>
      </w:r>
      <w:r w:rsidR="00F25121">
        <w:t>week)</w:t>
      </w:r>
      <w:r w:rsidR="008B5E9E">
        <w:t>.</w:t>
      </w:r>
      <w:r w:rsidR="00F25121">
        <w:t xml:space="preserve">  If a deferral ticket is </w:t>
      </w:r>
      <w:r w:rsidR="00F25121" w:rsidRPr="003840EA">
        <w:rPr>
          <w:i/>
          <w:iCs/>
        </w:rPr>
        <w:t>not</w:t>
      </w:r>
      <w:r w:rsidR="00F25121">
        <w:t xml:space="preserve"> provided in time, then the platform will reset itself and pass control to the </w:t>
      </w:r>
      <w:r w:rsidR="00E45DBA">
        <w:t xml:space="preserve">RTRes for recovery.  </w:t>
      </w:r>
    </w:p>
    <w:p w14:paraId="4E4D199A" w14:textId="4425EF12" w:rsidR="00F25121" w:rsidRDefault="00E45DBA" w:rsidP="00D307B6">
      <w:pPr>
        <w:ind w:left="720"/>
      </w:pPr>
      <w:r>
        <w:t xml:space="preserve">The mechanism that manages the execution lease </w:t>
      </w:r>
      <w:r w:rsidR="00F25121">
        <w:t xml:space="preserve">is called an </w:t>
      </w:r>
      <w:r w:rsidR="00F25121" w:rsidRPr="003840EA">
        <w:rPr>
          <w:i/>
          <w:iCs/>
        </w:rPr>
        <w:t>Authenticated Watchdog Timer</w:t>
      </w:r>
      <w:r w:rsidR="00F25121">
        <w:t xml:space="preserve"> (AWDT)</w:t>
      </w:r>
      <w:r>
        <w:t xml:space="preserve">.  </w:t>
      </w:r>
      <w:r w:rsidR="00F25121">
        <w:t>AWDTs can be implemented in hardware or may be part of the RTRes executing in a</w:t>
      </w:r>
      <w:r>
        <w:t xml:space="preserve"> </w:t>
      </w:r>
      <w:r w:rsidR="00F25121">
        <w:t>protected execution environment.</w:t>
      </w:r>
      <w:r w:rsidR="00486800">
        <w:t xml:space="preserve">  CyReP-compliant AWDTs are described </w:t>
      </w:r>
      <w:r w:rsidR="00EE0D2D">
        <w:t xml:space="preserve">in </w:t>
      </w:r>
      <w:sdt>
        <w:sdtPr>
          <w:id w:val="1321156000"/>
          <w:citation/>
        </w:sdtPr>
        <w:sdtEndPr/>
        <w:sdtContent>
          <w:r w:rsidR="00F62919">
            <w:fldChar w:fldCharType="begin"/>
          </w:r>
          <w:r w:rsidR="00F62919">
            <w:instrText xml:space="preserve">CITATION Aut1 \l 1033 </w:instrText>
          </w:r>
          <w:r w:rsidR="00F62919">
            <w:fldChar w:fldCharType="separate"/>
          </w:r>
          <w:r w:rsidR="00F62919" w:rsidRPr="00F62919">
            <w:rPr>
              <w:noProof/>
            </w:rPr>
            <w:t>[5]</w:t>
          </w:r>
          <w:r w:rsidR="00F62919">
            <w:fldChar w:fldCharType="end"/>
          </w:r>
        </w:sdtContent>
      </w:sdt>
      <w:r w:rsidR="00486800">
        <w:t>.</w:t>
      </w:r>
    </w:p>
    <w:p w14:paraId="226C95C5" w14:textId="575EE1AA" w:rsidR="00F25121" w:rsidRDefault="00F25121" w:rsidP="00EF6084">
      <w:pPr>
        <w:ind w:left="720"/>
      </w:pPr>
      <w:r>
        <w:t xml:space="preserve">Devices that employ an AWDT “fail safe” </w:t>
      </w:r>
      <w:r w:rsidR="00E45DBA">
        <w:t>because</w:t>
      </w:r>
      <w:r>
        <w:t xml:space="preserve"> any sort of hang or compromise will result in </w:t>
      </w:r>
      <w:r w:rsidR="00EA0E73">
        <w:t xml:space="preserve">control being </w:t>
      </w:r>
      <w:r>
        <w:t>transfer</w:t>
      </w:r>
      <w:r w:rsidR="00EA0E73">
        <w:t>red</w:t>
      </w:r>
      <w:r w:rsidR="009F5133">
        <w:t xml:space="preserve"> </w:t>
      </w:r>
      <w:r>
        <w:t>to the RTRes.  Device vendors should decide whether this is appropriate behavior</w:t>
      </w:r>
      <w:r w:rsidR="00BE7708">
        <w:t xml:space="preserve"> and </w:t>
      </w:r>
      <w:r w:rsidR="00486800">
        <w:t>what actions the RTRes should take when invoked</w:t>
      </w:r>
      <w:r w:rsidR="00BE7708">
        <w:t>.</w:t>
      </w:r>
      <w:r w:rsidR="00486800">
        <w:t xml:space="preserve">  Device vendors should also balance false-positive (unwanted) device resets that occur because of network interruption with the maximum latency for devices to </w:t>
      </w:r>
      <w:r w:rsidR="00D307B6">
        <w:t>return to a safe state.</w:t>
      </w:r>
      <w:r w:rsidR="00E45DBA">
        <w:t xml:space="preserve">  Note that in most cases (non-compromised devices) non </w:t>
      </w:r>
      <w:r w:rsidR="00512364">
        <w:t xml:space="preserve">CyReP-based mechanisms can be relied upon to perform </w:t>
      </w:r>
      <w:r w:rsidR="00BE7708">
        <w:t xml:space="preserve">timely </w:t>
      </w:r>
      <w:r w:rsidR="00512364">
        <w:t>servicing.</w:t>
      </w:r>
    </w:p>
    <w:p w14:paraId="0F4B6C99" w14:textId="6E04110B" w:rsidR="00516754" w:rsidRDefault="00F25121" w:rsidP="00516754">
      <w:pPr>
        <w:ind w:left="720"/>
      </w:pPr>
      <w:r>
        <w:t xml:space="preserve">The very simplest form of </w:t>
      </w:r>
      <w:r w:rsidR="00280775">
        <w:t xml:space="preserve">cyber-resilient </w:t>
      </w:r>
      <w:r>
        <w:t xml:space="preserve">Watchdog Timer </w:t>
      </w:r>
      <w:r w:rsidR="00512364">
        <w:t>prescribed</w:t>
      </w:r>
      <w:r>
        <w:t xml:space="preserve"> by </w:t>
      </w:r>
      <w:r w:rsidR="00512364">
        <w:t xml:space="preserve">the </w:t>
      </w:r>
      <w:r>
        <w:t xml:space="preserve">CyReP </w:t>
      </w:r>
      <w:r w:rsidR="00512364">
        <w:t xml:space="preserve">hardware </w:t>
      </w:r>
      <w:r>
        <w:t xml:space="preserve">specification is </w:t>
      </w:r>
      <w:r w:rsidR="00512364">
        <w:t>a</w:t>
      </w:r>
      <w:r>
        <w:t xml:space="preserve"> </w:t>
      </w:r>
      <w:r w:rsidR="00BE7708" w:rsidRPr="003840EA">
        <w:rPr>
          <w:i/>
          <w:iCs/>
        </w:rPr>
        <w:t>Non-Deferable Watchdog T</w:t>
      </w:r>
      <w:r w:rsidRPr="003840EA">
        <w:rPr>
          <w:i/>
          <w:iCs/>
        </w:rPr>
        <w:t>imer</w:t>
      </w:r>
      <w:r w:rsidR="00F37839">
        <w:t xml:space="preserve"> (N</w:t>
      </w:r>
      <w:r w:rsidR="009F5133">
        <w:t>D-</w:t>
      </w:r>
      <w:r w:rsidR="00F37839">
        <w:t>WDT)</w:t>
      </w:r>
      <w:r w:rsidRPr="009D11F2">
        <w:t>.</w:t>
      </w:r>
      <w:r w:rsidRPr="003840EA">
        <w:rPr>
          <w:i/>
          <w:iCs/>
        </w:rPr>
        <w:t xml:space="preserve"> </w:t>
      </w:r>
      <w:r>
        <w:t xml:space="preserve"> Once set, a</w:t>
      </w:r>
      <w:r w:rsidR="00BE7708">
        <w:t xml:space="preserve"> Non-Deferable Watchdog T</w:t>
      </w:r>
      <w:r>
        <w:t xml:space="preserve">imer will unconditionally reset the platform when the timeout expires.  </w:t>
      </w:r>
      <w:r w:rsidR="00BE7708">
        <w:t xml:space="preserve"> </w:t>
      </w:r>
      <w:r w:rsidR="006D63D9">
        <w:t>This behavior contrast with a conventional Watchdog Timer</w:t>
      </w:r>
      <w:r w:rsidR="00516754">
        <w:t>, whose reset can be deferred indefinitely (possibly by malware)</w:t>
      </w:r>
      <w:r w:rsidR="00D95F41">
        <w:t>.</w:t>
      </w:r>
    </w:p>
    <w:p w14:paraId="334D7E9C" w14:textId="5521D3DB" w:rsidR="00BE7708" w:rsidRDefault="001D180B" w:rsidP="00516754">
      <w:pPr>
        <w:ind w:left="720"/>
      </w:pPr>
      <w:r>
        <w:t xml:space="preserve">Because </w:t>
      </w:r>
      <w:r w:rsidR="00F37839">
        <w:t>it is</w:t>
      </w:r>
      <w:r>
        <w:t xml:space="preserve"> very simple, a </w:t>
      </w:r>
      <w:r w:rsidR="00EC79F7">
        <w:t>N</w:t>
      </w:r>
      <w:r>
        <w:t>on-</w:t>
      </w:r>
      <w:r w:rsidR="002F357C">
        <w:t>D</w:t>
      </w:r>
      <w:r>
        <w:t xml:space="preserve">eferable </w:t>
      </w:r>
      <w:r w:rsidR="002F357C">
        <w:t>W</w:t>
      </w:r>
      <w:r>
        <w:t xml:space="preserve">atchdog </w:t>
      </w:r>
      <w:r w:rsidR="002F357C">
        <w:t>T</w:t>
      </w:r>
      <w:r>
        <w:t>imer can be a suitable choice for the very simplest of MCUs</w:t>
      </w:r>
      <w:r w:rsidR="00BE7708">
        <w:t xml:space="preserve">, but </w:t>
      </w:r>
      <w:r w:rsidR="00F37839">
        <w:t xml:space="preserve">to </w:t>
      </w:r>
      <w:r w:rsidR="00FC014B">
        <w:t>provide reliable RTRes-based management with a</w:t>
      </w:r>
      <w:r w:rsidR="001D573D">
        <w:t xml:space="preserve">n </w:t>
      </w:r>
      <w:r w:rsidR="00F37839">
        <w:t>N</w:t>
      </w:r>
      <w:r w:rsidR="001D573D">
        <w:t>D-</w:t>
      </w:r>
      <w:r w:rsidR="00F37839">
        <w:t>WDT</w:t>
      </w:r>
      <w:r w:rsidR="00967D96">
        <w:t>,</w:t>
      </w:r>
      <w:r w:rsidR="00BE7708">
        <w:t xml:space="preserve"> occasional device resets are necessary</w:t>
      </w:r>
      <w:r>
        <w:t>.</w:t>
      </w:r>
      <w:r w:rsidR="00BE7708">
        <w:t xml:space="preserve">  CyReP specifications and white papers suggest mitigations for service disruptions associated with occasional platform resets.</w:t>
      </w:r>
    </w:p>
    <w:p w14:paraId="54847CF5" w14:textId="464D80A8" w:rsidR="00486800" w:rsidRDefault="00486800" w:rsidP="00D307B6">
      <w:pPr>
        <w:ind w:left="720"/>
      </w:pPr>
      <w:r>
        <w:t xml:space="preserve">Finally, CyReP platforms must provide conventional watchdog timers to provide minimal latency recovery in the case of simple hangs.  </w:t>
      </w:r>
      <w:r w:rsidR="00D307B6">
        <w:t xml:space="preserve"> </w:t>
      </w:r>
    </w:p>
    <w:p w14:paraId="71B41505" w14:textId="0DC961D6" w:rsidR="00443892" w:rsidRDefault="00443892" w:rsidP="00443892">
      <w:r>
        <w:t xml:space="preserve">A platform that meets the </w:t>
      </w:r>
      <w:r w:rsidR="00BF13B2">
        <w:t xml:space="preserve">CyReP hardware </w:t>
      </w:r>
      <w:r>
        <w:t>re</w:t>
      </w:r>
      <w:r w:rsidR="00633C50">
        <w:t xml:space="preserve">quirements is termed a </w:t>
      </w:r>
      <w:r w:rsidRPr="003840EA">
        <w:rPr>
          <w:i/>
          <w:iCs/>
        </w:rPr>
        <w:t>Cyber Resilient Platform.</w:t>
      </w:r>
      <w:r>
        <w:t xml:space="preserve"> Depending on system design, the resiliency features may be implemented entirely in a SoC (System on Chip) or may be distributed across subsystems (e.g. storage controllers and custom logic)</w:t>
      </w:r>
      <w:r w:rsidR="00515AF9">
        <w:t>.</w:t>
      </w:r>
      <w:r w:rsidR="006E2400">
        <w:t xml:space="preserve">  </w:t>
      </w:r>
    </w:p>
    <w:p w14:paraId="166E9606" w14:textId="00437A72" w:rsidR="00512364" w:rsidRDefault="00512364" w:rsidP="00512364">
      <w:pPr>
        <w:pStyle w:val="Heading2"/>
      </w:pPr>
      <w:r>
        <w:t>Using CyReP Hardware Building Blocks</w:t>
      </w:r>
    </w:p>
    <w:p w14:paraId="24975E2C" w14:textId="1A943753" w:rsidR="00443892" w:rsidRDefault="00443892" w:rsidP="00443892">
      <w:r>
        <w:t xml:space="preserve">A Cyber Resilient Platform is designed to provide a resilient </w:t>
      </w:r>
      <w:r w:rsidRPr="003840EA">
        <w:rPr>
          <w:i/>
          <w:iCs/>
        </w:rPr>
        <w:t>foundation</w:t>
      </w:r>
      <w:r>
        <w:t xml:space="preserve"> for an arbitrary Trusted Computing Base</w:t>
      </w:r>
      <w:r w:rsidR="00D400AB">
        <w:t>, rather than a full system-software solution</w:t>
      </w:r>
      <w:r>
        <w:t xml:space="preserve">.   The </w:t>
      </w:r>
      <w:r w:rsidR="000B61F0">
        <w:t xml:space="preserve">actual </w:t>
      </w:r>
      <w:r>
        <w:t xml:space="preserve">Trusted Computing Base may be a very simple application package – for example in a sensor-style IoT device </w:t>
      </w:r>
      <w:r w:rsidR="00F95B6E">
        <w:t>–</w:t>
      </w:r>
      <w:r>
        <w:t xml:space="preserve"> or may be a full-fledged hypervisor running multiple operating systems and applications.  The Trusted Computing Base will </w:t>
      </w:r>
      <w:r w:rsidR="00A5375A">
        <w:t xml:space="preserve">also </w:t>
      </w:r>
      <w:r>
        <w:lastRenderedPageBreak/>
        <w:t xml:space="preserve">typically </w:t>
      </w:r>
      <w:r w:rsidR="00574E55">
        <w:t>employ</w:t>
      </w:r>
      <w:r>
        <w:t xml:space="preserve"> additional runtime hardware-based protection technologies such as processor privilege levels to protect itself if they are available.  </w:t>
      </w:r>
      <w:r w:rsidR="00512364">
        <w:t xml:space="preserve">For complex systems, </w:t>
      </w:r>
      <w:r w:rsidR="00633C50">
        <w:t>CyReP capabilities</w:t>
      </w:r>
      <w:r>
        <w:t xml:space="preserve"> are designed </w:t>
      </w:r>
      <w:r w:rsidRPr="00B10DDB">
        <w:t>to supplement rather than replace</w:t>
      </w:r>
      <w:r>
        <w:t xml:space="preserve"> existing protection technologies, and provide remediation if all other protections fail</w:t>
      </w:r>
      <w:r w:rsidR="002D16BD">
        <w:t xml:space="preserve">: </w:t>
      </w:r>
      <w:r w:rsidRPr="003840EA">
        <w:rPr>
          <w:i/>
          <w:iCs/>
        </w:rPr>
        <w:t>i.e.</w:t>
      </w:r>
      <w:r>
        <w:t xml:space="preserve"> if the TCB itself is compromised.</w:t>
      </w:r>
    </w:p>
    <w:p w14:paraId="5E04937A" w14:textId="16E99A02" w:rsidR="00443892" w:rsidRDefault="00443892" w:rsidP="00443892">
      <w:r>
        <w:t xml:space="preserve">The </w:t>
      </w:r>
      <w:r w:rsidR="00BE7708">
        <w:t xml:space="preserve">CyReP hardware </w:t>
      </w:r>
      <w:r>
        <w:t xml:space="preserve">features (together or separately) can be utilized by standalone devices, but are most powerful when used in conjunction with a vendor or owner-operated cloud management service.  Use of a centralized service allows devices to be managed at scale – for example, by providing a single point for </w:t>
      </w:r>
      <w:r w:rsidR="00A44607">
        <w:t xml:space="preserve">the health of </w:t>
      </w:r>
      <w:r>
        <w:t>device</w:t>
      </w:r>
      <w:r w:rsidR="00A44607">
        <w:t>s</w:t>
      </w:r>
      <w:r>
        <w:t xml:space="preserve"> to be assessed and remediated when needed.</w:t>
      </w:r>
      <w:r w:rsidRPr="00987949">
        <w:t xml:space="preserve"> </w:t>
      </w:r>
    </w:p>
    <w:p w14:paraId="709A92D3" w14:textId="2C47160E" w:rsidR="00443892" w:rsidRDefault="00443892" w:rsidP="00443892">
      <w:r>
        <w:t xml:space="preserve">The resiliency features are designed to be both simple to implement in hardware, and simple for software to use.  The simplicity increases the chance that systems built using these technologies will be resilient in the face of </w:t>
      </w:r>
      <w:r w:rsidR="00EE51B9">
        <w:t xml:space="preserve">a </w:t>
      </w:r>
      <w:r>
        <w:t>determined cyber-attack.</w:t>
      </w:r>
      <w:r>
        <w:rPr>
          <w:rStyle w:val="FootnoteReference"/>
        </w:rPr>
        <w:footnoteReference w:id="1"/>
      </w:r>
      <w:r w:rsidRPr="2C810E68">
        <w:t xml:space="preserve">  </w:t>
      </w:r>
    </w:p>
    <w:p w14:paraId="2B3990E7" w14:textId="385E08BE" w:rsidR="00C11C15" w:rsidRDefault="00FE12F1" w:rsidP="00443892">
      <w:r>
        <w:t>Complete CyReP hardware requirements are documented</w:t>
      </w:r>
      <w:r w:rsidR="004435AD">
        <w:t xml:space="preserve"> in </w:t>
      </w:r>
      <w:sdt>
        <w:sdtPr>
          <w:id w:val="34629468"/>
          <w:citation/>
        </w:sdtPr>
        <w:sdtEndPr/>
        <w:sdtContent>
          <w:r w:rsidR="004435AD">
            <w:fldChar w:fldCharType="begin"/>
          </w:r>
          <w:r w:rsidR="004435AD">
            <w:instrText xml:space="preserve"> CITATION Eng17 \l 1033 </w:instrText>
          </w:r>
          <w:r w:rsidR="004435AD">
            <w:fldChar w:fldCharType="separate"/>
          </w:r>
          <w:r w:rsidR="004435AD" w:rsidRPr="004435AD">
            <w:rPr>
              <w:noProof/>
            </w:rPr>
            <w:t>[2]</w:t>
          </w:r>
          <w:r w:rsidR="004435AD">
            <w:fldChar w:fldCharType="end"/>
          </w:r>
        </w:sdtContent>
      </w:sdt>
      <w:sdt>
        <w:sdtPr>
          <w:id w:val="-1303609343"/>
          <w:citation/>
        </w:sdtPr>
        <w:sdtEndPr/>
        <w:sdtContent>
          <w:r w:rsidR="004435AD">
            <w:fldChar w:fldCharType="begin"/>
          </w:r>
          <w:r w:rsidR="004435AD">
            <w:instrText xml:space="preserve"> CITATION DICE \l 1033 </w:instrText>
          </w:r>
          <w:r w:rsidR="004435AD">
            <w:fldChar w:fldCharType="separate"/>
          </w:r>
          <w:r w:rsidR="004435AD">
            <w:rPr>
              <w:noProof/>
            </w:rPr>
            <w:t xml:space="preserve"> </w:t>
          </w:r>
          <w:r w:rsidR="004435AD" w:rsidRPr="004435AD">
            <w:rPr>
              <w:noProof/>
            </w:rPr>
            <w:t>[3]</w:t>
          </w:r>
          <w:r w:rsidR="004435AD">
            <w:fldChar w:fldCharType="end"/>
          </w:r>
        </w:sdtContent>
      </w:sdt>
      <w:sdt>
        <w:sdtPr>
          <w:id w:val="-655233467"/>
          <w:citation/>
        </w:sdtPr>
        <w:sdtEndPr/>
        <w:sdtContent>
          <w:r w:rsidR="00A15FF5">
            <w:fldChar w:fldCharType="begin"/>
          </w:r>
          <w:r w:rsidR="00A15FF5">
            <w:instrText xml:space="preserve"> CITATION Aut1 \l 1033 </w:instrText>
          </w:r>
          <w:r w:rsidR="00A15FF5">
            <w:fldChar w:fldCharType="separate"/>
          </w:r>
          <w:r w:rsidR="00A15FF5">
            <w:rPr>
              <w:noProof/>
            </w:rPr>
            <w:t xml:space="preserve"> </w:t>
          </w:r>
          <w:r w:rsidR="00A15FF5" w:rsidRPr="00A15FF5">
            <w:rPr>
              <w:noProof/>
            </w:rPr>
            <w:t>[5]</w:t>
          </w:r>
          <w:r w:rsidR="00A15FF5">
            <w:fldChar w:fldCharType="end"/>
          </w:r>
        </w:sdtContent>
      </w:sdt>
      <w:r w:rsidR="00DA4EDE">
        <w:t>.</w:t>
      </w:r>
      <w:r w:rsidR="00BB2A17">
        <w:t xml:space="preserve"> </w:t>
      </w:r>
    </w:p>
    <w:p w14:paraId="50D4E495" w14:textId="084EA9A2" w:rsidR="00900449" w:rsidRDefault="00CA1FA0" w:rsidP="00830131">
      <w:pPr>
        <w:pStyle w:val="Heading1"/>
      </w:pPr>
      <w:r>
        <w:t>CyReP</w:t>
      </w:r>
      <w:r w:rsidR="00A501DB">
        <w:t xml:space="preserve"> </w:t>
      </w:r>
      <w:r w:rsidR="00CF10E1">
        <w:t xml:space="preserve">Foundational Management </w:t>
      </w:r>
      <w:r>
        <w:t>Protocols</w:t>
      </w:r>
    </w:p>
    <w:p w14:paraId="051CB9A4" w14:textId="7A13C714" w:rsidR="00A95B5E" w:rsidRDefault="00A95B5E" w:rsidP="00AC7689">
      <w:r>
        <w:t xml:space="preserve">CyReP platforms provide a security and resiliency </w:t>
      </w:r>
      <w:r w:rsidRPr="003840EA">
        <w:rPr>
          <w:i/>
          <w:iCs/>
        </w:rPr>
        <w:t>foundation</w:t>
      </w:r>
      <w:r>
        <w:t xml:space="preserve">, but are (largely) </w:t>
      </w:r>
      <w:r w:rsidR="005D2126">
        <w:t xml:space="preserve">uninvolved in the run-time security of the device.  This means that CyReP management protocols are </w:t>
      </w:r>
      <w:r w:rsidR="00401A9C">
        <w:t>a subset of</w:t>
      </w:r>
      <w:r w:rsidR="00EB73B4">
        <w:t xml:space="preserve"> a device’s likely management protocols.  The scope of the CyReP Foundational Management protocols, and how they relate to </w:t>
      </w:r>
      <w:r w:rsidR="007968F0">
        <w:t xml:space="preserve">higher-level protocols is illustrated in </w:t>
      </w:r>
      <w:r w:rsidR="00A15FF5">
        <w:fldChar w:fldCharType="begin"/>
      </w:r>
      <w:r w:rsidR="00A15FF5">
        <w:instrText xml:space="preserve"> REF _Ref492378150 \h </w:instrText>
      </w:r>
      <w:r w:rsidR="00A15FF5">
        <w:fldChar w:fldCharType="separate"/>
      </w:r>
      <w:r w:rsidR="00E8231D">
        <w:t xml:space="preserve">Figure </w:t>
      </w:r>
      <w:r w:rsidR="00E8231D">
        <w:rPr>
          <w:noProof/>
        </w:rPr>
        <w:t>1</w:t>
      </w:r>
      <w:r w:rsidR="00A15FF5">
        <w:fldChar w:fldCharType="end"/>
      </w:r>
      <w:r w:rsidR="00A15FF5">
        <w:t>.</w:t>
      </w:r>
    </w:p>
    <w:p w14:paraId="25DA7D4F" w14:textId="22CDA20E" w:rsidR="00CA1FA0" w:rsidRDefault="00181077" w:rsidP="00AC7689">
      <w:r>
        <w:t xml:space="preserve"> </w:t>
      </w:r>
    </w:p>
    <w:p w14:paraId="3893111C" w14:textId="170F9488" w:rsidR="00032751" w:rsidRDefault="00DE5956" w:rsidP="00D539F4">
      <w:pPr>
        <w:keepNext/>
        <w:jc w:val="center"/>
      </w:pPr>
      <w:r>
        <w:object w:dxaOrig="14716" w:dyaOrig="9886" w14:anchorId="3AC23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46pt" o:ole="">
            <v:imagedata r:id="rId12" o:title=""/>
          </v:shape>
          <o:OLEObject Type="Embed" ProgID="Visio.Drawing.15" ShapeID="_x0000_i1025" DrawAspect="Content" ObjectID="_1567489451" r:id="rId13"/>
        </w:object>
      </w:r>
    </w:p>
    <w:p w14:paraId="2A9AE183" w14:textId="6334B735" w:rsidR="00D40419" w:rsidRDefault="00032751" w:rsidP="00032751">
      <w:pPr>
        <w:pStyle w:val="Caption"/>
      </w:pPr>
      <w:bookmarkStart w:id="1" w:name="_Ref492378150"/>
      <w:r>
        <w:t xml:space="preserve">Figure </w:t>
      </w:r>
      <w:r w:rsidR="008954BB" w:rsidRPr="00EF5E8F">
        <w:fldChar w:fldCharType="begin"/>
      </w:r>
      <w:r w:rsidR="008954BB">
        <w:instrText xml:space="preserve"> SEQ Figure \* ARABIC </w:instrText>
      </w:r>
      <w:r w:rsidR="008954BB" w:rsidRPr="00EF5E8F">
        <w:fldChar w:fldCharType="separate"/>
      </w:r>
      <w:r w:rsidR="00E8231D">
        <w:rPr>
          <w:noProof/>
        </w:rPr>
        <w:t>1</w:t>
      </w:r>
      <w:r w:rsidR="008954BB" w:rsidRPr="00EF5E8F">
        <w:fldChar w:fldCharType="end"/>
      </w:r>
      <w:bookmarkEnd w:id="1"/>
      <w:r>
        <w:t xml:space="preserve">: Classification of management functions and protocols.  Foundational Management Functions are the set </w:t>
      </w:r>
      <w:r w:rsidR="00277FDC">
        <w:t>o</w:t>
      </w:r>
      <w:r>
        <w:t>f functions that are requ</w:t>
      </w:r>
      <w:r w:rsidR="00223867">
        <w:t>i</w:t>
      </w:r>
      <w:r>
        <w:t xml:space="preserve">red to ensure that the TCB is up-to-date and operating properly.  If the TCB is operating properly, </w:t>
      </w:r>
      <w:r w:rsidR="007A5CE0">
        <w:t xml:space="preserve">then </w:t>
      </w:r>
      <w:r>
        <w:t xml:space="preserve">higher-level management functions can </w:t>
      </w:r>
      <w:r w:rsidR="00223867">
        <w:t>perform reliably.</w:t>
      </w:r>
    </w:p>
    <w:p w14:paraId="03975958" w14:textId="575F1F7C" w:rsidR="00032833" w:rsidRDefault="00564C52" w:rsidP="00AC7689">
      <w:r>
        <w:t xml:space="preserve">Microsoft is standardizing Device Attestation and Device Identity protocols in the Trusted Computing Group.  </w:t>
      </w:r>
      <w:r w:rsidR="004E3712">
        <w:t xml:space="preserve">Microsoft’s proposal is </w:t>
      </w:r>
      <w:sdt>
        <w:sdtPr>
          <w:id w:val="303056540"/>
          <w:citation/>
        </w:sdtPr>
        <w:sdtEndPr/>
        <w:sdtContent>
          <w:r w:rsidR="00C22EDD">
            <w:fldChar w:fldCharType="begin"/>
          </w:r>
          <w:r w:rsidR="00C22EDD">
            <w:instrText xml:space="preserve"> CITATION Eng171 \l 1033 </w:instrText>
          </w:r>
          <w:r w:rsidR="00C22EDD">
            <w:fldChar w:fldCharType="separate"/>
          </w:r>
          <w:r w:rsidR="00C22EDD" w:rsidRPr="00C22EDD">
            <w:rPr>
              <w:noProof/>
            </w:rPr>
            <w:t>[6]</w:t>
          </w:r>
          <w:r w:rsidR="00C22EDD">
            <w:fldChar w:fldCharType="end"/>
          </w:r>
        </w:sdtContent>
      </w:sdt>
      <w:r w:rsidR="00A90705">
        <w:t>.</w:t>
      </w:r>
      <w:r w:rsidR="008E5F9C">
        <w:t xml:space="preserve"> This protocol is currently supported by Azure IoT’s Device Provisioning Service</w:t>
      </w:r>
      <w:r w:rsidR="00BE7708">
        <w:t xml:space="preserve"> (t</w:t>
      </w:r>
      <w:r w:rsidR="004C4D8C">
        <w:t>he protocol is a certificate profile for TLS with client certificates.</w:t>
      </w:r>
      <w:r w:rsidR="00BE7708">
        <w:t>)</w:t>
      </w:r>
    </w:p>
    <w:p w14:paraId="0EA78555" w14:textId="799EFA26" w:rsidR="008E5F9C" w:rsidRDefault="00A90705" w:rsidP="00AC7689">
      <w:r>
        <w:t xml:space="preserve">Microsoft </w:t>
      </w:r>
      <w:r w:rsidR="00F55D8E">
        <w:t xml:space="preserve">also </w:t>
      </w:r>
      <w:r>
        <w:t xml:space="preserve">welcomes feedback on the </w:t>
      </w:r>
      <w:r w:rsidR="000D54D7">
        <w:t xml:space="preserve">Attention Trigger </w:t>
      </w:r>
      <w:r>
        <w:t xml:space="preserve">protocol implicit in the </w:t>
      </w:r>
      <w:r w:rsidR="00F33614">
        <w:t xml:space="preserve">Authenticated Watchdog Timer specification </w:t>
      </w:r>
      <w:sdt>
        <w:sdtPr>
          <w:id w:val="-1363200611"/>
          <w:citation/>
        </w:sdtPr>
        <w:sdtEndPr/>
        <w:sdtContent>
          <w:r w:rsidR="00F55D8E">
            <w:fldChar w:fldCharType="begin"/>
          </w:r>
          <w:r w:rsidR="00F55D8E">
            <w:instrText xml:space="preserve"> CITATION Aut1 \l 1033 </w:instrText>
          </w:r>
          <w:r w:rsidR="00F55D8E">
            <w:fldChar w:fldCharType="separate"/>
          </w:r>
          <w:r w:rsidR="00F55D8E" w:rsidRPr="00F55D8E">
            <w:rPr>
              <w:noProof/>
            </w:rPr>
            <w:t>[5]</w:t>
          </w:r>
          <w:r w:rsidR="00F55D8E">
            <w:fldChar w:fldCharType="end"/>
          </w:r>
        </w:sdtContent>
      </w:sdt>
      <w:r w:rsidR="00F55D8E">
        <w:t>.</w:t>
      </w:r>
    </w:p>
    <w:p w14:paraId="7C5EE70C" w14:textId="2CAEFEAC" w:rsidR="00F33614" w:rsidRDefault="00AA272E" w:rsidP="00AC7689">
      <w:r>
        <w:t>Recovery is a combination of a</w:t>
      </w:r>
      <w:r w:rsidR="000D54D7">
        <w:t xml:space="preserve">n </w:t>
      </w:r>
      <w:r>
        <w:t xml:space="preserve">Attention </w:t>
      </w:r>
      <w:r w:rsidR="000D54D7">
        <w:t>T</w:t>
      </w:r>
      <w:r>
        <w:t xml:space="preserve">rigger, and </w:t>
      </w:r>
      <w:r w:rsidR="00DB6B6D">
        <w:t>push/pull of a firmware update</w:t>
      </w:r>
      <w:r w:rsidR="00D307B6">
        <w:t>.</w:t>
      </w:r>
    </w:p>
    <w:p w14:paraId="266DAB20" w14:textId="7CA345E4" w:rsidR="00806050" w:rsidRDefault="00DB6B6D" w:rsidP="004C4D8C">
      <w:pPr>
        <w:pStyle w:val="Heading1"/>
      </w:pPr>
      <w:r>
        <w:t>The CyReP Root of Trust for Resiliency</w:t>
      </w:r>
      <w:r w:rsidR="00D76289">
        <w:t xml:space="preserve"> (RTRes)</w:t>
      </w:r>
    </w:p>
    <w:p w14:paraId="293CF079" w14:textId="2C4EEA9C" w:rsidR="002A249E" w:rsidRDefault="002A249E" w:rsidP="002A249E">
      <w:r>
        <w:t xml:space="preserve">A commonly-cited definition of the </w:t>
      </w:r>
      <w:r w:rsidR="00701BB1">
        <w:t xml:space="preserve">Trusted Computing Base is </w:t>
      </w:r>
      <w:r w:rsidR="00BE7708">
        <w:t xml:space="preserve">from </w:t>
      </w:r>
      <w:r w:rsidR="00701BB1">
        <w:t>the orange book:</w:t>
      </w:r>
      <w:r w:rsidR="00BE7708">
        <w:t xml:space="preserve"> </w:t>
      </w:r>
      <w:sdt>
        <w:sdtPr>
          <w:id w:val="1832411736"/>
          <w:citation/>
        </w:sdtPr>
        <w:sdtEndPr/>
        <w:sdtContent>
          <w:r w:rsidR="00A32E00">
            <w:fldChar w:fldCharType="begin"/>
          </w:r>
          <w:r w:rsidR="00A32E00">
            <w:instrText xml:space="preserve"> CITATION Tru85 \l 1033 </w:instrText>
          </w:r>
          <w:r w:rsidR="00A32E00">
            <w:fldChar w:fldCharType="separate"/>
          </w:r>
          <w:r w:rsidR="00A32E00" w:rsidRPr="00A32E00">
            <w:rPr>
              <w:noProof/>
            </w:rPr>
            <w:t>[7]</w:t>
          </w:r>
          <w:r w:rsidR="00A32E00">
            <w:fldChar w:fldCharType="end"/>
          </w:r>
        </w:sdtContent>
      </w:sdt>
    </w:p>
    <w:p w14:paraId="38FF5DD0" w14:textId="2B469685" w:rsidR="00701BB1" w:rsidRPr="002A249E" w:rsidRDefault="00701BB1" w:rsidP="00701BB1">
      <w:pPr>
        <w:ind w:left="720"/>
      </w:pPr>
      <w:r>
        <w:rPr>
          <w:rFonts w:cs="Courier Std"/>
          <w:color w:val="000000"/>
          <w:sz w:val="20"/>
          <w:szCs w:val="20"/>
        </w:rPr>
        <w:t>The heart of a trusted computer system is the Trusted Computing Base (TCB) which contains all of the elements of the system responsible for supporting the security policy and supporting the isolation of objects (code and data) on which the protection is based.</w:t>
      </w:r>
    </w:p>
    <w:p w14:paraId="5BC33CC6" w14:textId="2D401425" w:rsidR="006066C0" w:rsidRDefault="000A1142" w:rsidP="00AC7689">
      <w:r>
        <w:t>Unfortunately, for most IoT devices,</w:t>
      </w:r>
      <w:r w:rsidR="00BE7708">
        <w:t xml:space="preserve"> this definition implies</w:t>
      </w:r>
      <w:r w:rsidR="00B4334C">
        <w:t xml:space="preserve"> that the TCB is </w:t>
      </w:r>
      <w:r w:rsidR="007E1C6E">
        <w:t xml:space="preserve">the entirety </w:t>
      </w:r>
      <w:r w:rsidR="00B4334C">
        <w:t xml:space="preserve">of </w:t>
      </w:r>
      <w:r w:rsidR="00055A8A">
        <w:t>the application and</w:t>
      </w:r>
      <w:r w:rsidR="00B4334C">
        <w:t xml:space="preserve"> </w:t>
      </w:r>
      <w:r w:rsidR="00D539F4">
        <w:t xml:space="preserve">operating </w:t>
      </w:r>
      <w:r w:rsidR="00B4334C">
        <w:t>system</w:t>
      </w:r>
      <w:r w:rsidR="00D539F4">
        <w:t>. This</w:t>
      </w:r>
      <w:r w:rsidR="00825CBA">
        <w:t xml:space="preserve"> is</w:t>
      </w:r>
      <w:r w:rsidR="00831E1C">
        <w:t xml:space="preserve"> because the applications themselves </w:t>
      </w:r>
      <w:r w:rsidR="006D1CB3">
        <w:t xml:space="preserve">are Internet accessible and </w:t>
      </w:r>
      <w:r w:rsidR="00780F49">
        <w:t xml:space="preserve">often enjoy low-level access to </w:t>
      </w:r>
      <w:r w:rsidR="006066C0">
        <w:t xml:space="preserve">device sensors and actuators.  </w:t>
      </w:r>
      <w:r w:rsidR="006D1CB3">
        <w:t>This means that</w:t>
      </w:r>
      <w:r w:rsidR="009A44EE">
        <w:t xml:space="preserve"> </w:t>
      </w:r>
      <w:r w:rsidR="0082399B">
        <w:t>a bug in the</w:t>
      </w:r>
      <w:r w:rsidR="00055A8A">
        <w:t xml:space="preserve"> application is as bad</w:t>
      </w:r>
      <w:r w:rsidR="0082399B">
        <w:t xml:space="preserve"> as a bug in the TCB.  </w:t>
      </w:r>
      <w:r w:rsidR="006066C0">
        <w:t xml:space="preserve">Further, IoT devices are usually </w:t>
      </w:r>
      <w:r w:rsidR="001C2728">
        <w:t>fixed function, and conventional TCB responsibilities</w:t>
      </w:r>
      <w:r w:rsidR="00E9231F">
        <w:t>,</w:t>
      </w:r>
      <w:r w:rsidR="001C2728">
        <w:t xml:space="preserve"> like separating users </w:t>
      </w:r>
      <w:r w:rsidR="00D47079">
        <w:t>or enforcing integrity levels</w:t>
      </w:r>
      <w:r w:rsidR="00E9231F">
        <w:t>,</w:t>
      </w:r>
      <w:r w:rsidR="00D47079">
        <w:t xml:space="preserve"> are not </w:t>
      </w:r>
      <w:r w:rsidR="00EB1E5A">
        <w:t>used</w:t>
      </w:r>
      <w:r w:rsidR="00D47079">
        <w:t>.</w:t>
      </w:r>
      <w:r w:rsidR="00055A8A">
        <w:rPr>
          <w:rStyle w:val="FootnoteReference"/>
        </w:rPr>
        <w:footnoteReference w:id="2"/>
      </w:r>
    </w:p>
    <w:p w14:paraId="400DE40B" w14:textId="6FBE8D18" w:rsidR="006066C0" w:rsidRDefault="006066C0" w:rsidP="00AC7689">
      <w:r>
        <w:lastRenderedPageBreak/>
        <w:t>A practical consequence is that from a conventional</w:t>
      </w:r>
      <w:r w:rsidR="00390B62">
        <w:t xml:space="preserve"> system</w:t>
      </w:r>
      <w:r>
        <w:t xml:space="preserve"> </w:t>
      </w:r>
      <w:r w:rsidR="00390B62">
        <w:t xml:space="preserve">security perspective, the TCB is not a helpful concept, </w:t>
      </w:r>
      <w:r w:rsidR="00390B62" w:rsidRPr="003840EA">
        <w:rPr>
          <w:i/>
          <w:iCs/>
        </w:rPr>
        <w:t>except</w:t>
      </w:r>
      <w:r w:rsidR="00390B62">
        <w:t xml:space="preserve"> that it </w:t>
      </w:r>
      <w:r w:rsidR="0082399B">
        <w:t>can provide</w:t>
      </w:r>
      <w:r w:rsidR="00390B62">
        <w:t xml:space="preserve"> a foundation for </w:t>
      </w:r>
      <w:r w:rsidR="006E2880">
        <w:t xml:space="preserve">managing (e.g. updating or </w:t>
      </w:r>
      <w:r w:rsidR="0082399B">
        <w:t>halting</w:t>
      </w:r>
      <w:r w:rsidR="006E2880">
        <w:t xml:space="preserve">) </w:t>
      </w:r>
      <w:r w:rsidR="0058123F">
        <w:t xml:space="preserve">the application </w:t>
      </w:r>
      <w:r w:rsidR="006A14A3">
        <w:t xml:space="preserve">programs </w:t>
      </w:r>
      <w:r w:rsidR="0058123F">
        <w:t>that it hosts.</w:t>
      </w:r>
    </w:p>
    <w:p w14:paraId="4A75E37D" w14:textId="78275566" w:rsidR="0058123F" w:rsidRDefault="00EA3908" w:rsidP="00AC7689">
      <w:r>
        <w:t xml:space="preserve">The CyReP </w:t>
      </w:r>
      <w:r w:rsidR="001D6BF7">
        <w:t xml:space="preserve">initiative builds on this observation, and extracts and elevates the parts of the TCB that </w:t>
      </w:r>
      <w:r w:rsidR="00C12C0F">
        <w:t>are responsible for foundational management and recovery</w:t>
      </w:r>
      <w:r w:rsidR="00176B4E">
        <w:t xml:space="preserve"> (</w:t>
      </w:r>
      <w:r w:rsidR="00C12C0F">
        <w:t xml:space="preserve">including recovery of the </w:t>
      </w:r>
      <w:r w:rsidR="00EB1E5A">
        <w:t>TCB itself</w:t>
      </w:r>
      <w:r w:rsidR="00176B4E">
        <w:t xml:space="preserve">) </w:t>
      </w:r>
      <w:r w:rsidR="00EB1E5A">
        <w:t xml:space="preserve">into a set of capabilities we call the </w:t>
      </w:r>
      <w:r w:rsidR="00EB1E5A" w:rsidRPr="003840EA">
        <w:rPr>
          <w:i/>
          <w:iCs/>
        </w:rPr>
        <w:t>Root of Trust for Resiliency</w:t>
      </w:r>
      <w:r w:rsidR="00EB1E5A">
        <w:t>, or RTRes.</w:t>
      </w:r>
      <w:r w:rsidR="006D2F18">
        <w:t xml:space="preserve">  </w:t>
      </w:r>
      <w:r w:rsidR="00974256">
        <w:t xml:space="preserve"> Although a strict interpretation of the definition of the TCB </w:t>
      </w:r>
      <w:r w:rsidR="00850F0C">
        <w:t>would include the RTRes, i</w:t>
      </w:r>
      <w:r w:rsidR="00002050">
        <w:t>t is convenient</w:t>
      </w:r>
      <w:r w:rsidR="006D2F18">
        <w:t xml:space="preserve"> to define the RTRes as being foundational to</w:t>
      </w:r>
      <w:r w:rsidR="00850F0C">
        <w:t>,</w:t>
      </w:r>
      <w:r w:rsidR="00975691">
        <w:t xml:space="preserve"> rather than a subset of</w:t>
      </w:r>
      <w:r w:rsidR="00850F0C">
        <w:t>,</w:t>
      </w:r>
      <w:r w:rsidR="00975691">
        <w:t xml:space="preserve"> the </w:t>
      </w:r>
      <w:r w:rsidR="00D05B8F">
        <w:t>TCB.</w:t>
      </w:r>
      <w:r w:rsidR="0082399B">
        <w:t xml:space="preserve">  See</w:t>
      </w:r>
      <w:r w:rsidR="00F55D8E">
        <w:t xml:space="preserve"> </w:t>
      </w:r>
      <w:r w:rsidR="00F55D8E">
        <w:fldChar w:fldCharType="begin"/>
      </w:r>
      <w:r w:rsidR="00F55D8E">
        <w:instrText xml:space="preserve"> REF _Ref492378446 \h </w:instrText>
      </w:r>
      <w:r w:rsidR="00F55D8E">
        <w:fldChar w:fldCharType="separate"/>
      </w:r>
      <w:r w:rsidR="00E8231D">
        <w:t xml:space="preserve">Figure </w:t>
      </w:r>
      <w:r w:rsidR="00E8231D">
        <w:rPr>
          <w:noProof/>
        </w:rPr>
        <w:t>2</w:t>
      </w:r>
      <w:r w:rsidR="00F55D8E">
        <w:fldChar w:fldCharType="end"/>
      </w:r>
      <w:r w:rsidR="0082399B">
        <w:t>.</w:t>
      </w:r>
    </w:p>
    <w:p w14:paraId="52C80216" w14:textId="3E92CE5F" w:rsidR="0051398C" w:rsidRDefault="00BC3C96" w:rsidP="0051398C">
      <w:pPr>
        <w:keepNext/>
        <w:jc w:val="center"/>
      </w:pPr>
      <w:r>
        <w:object w:dxaOrig="7680" w:dyaOrig="6481" w14:anchorId="5D449D6F">
          <v:shape id="_x0000_i1026" type="#_x0000_t75" style="width:222pt;height:187.5pt" o:ole="">
            <v:imagedata r:id="rId14" o:title=""/>
          </v:shape>
          <o:OLEObject Type="Embed" ProgID="Visio.Drawing.15" ShapeID="_x0000_i1026" DrawAspect="Content" ObjectID="_1567489452" r:id="rId15"/>
        </w:object>
      </w:r>
    </w:p>
    <w:p w14:paraId="0D0F9AC7" w14:textId="7AAE3F84" w:rsidR="00687107" w:rsidRDefault="0051398C" w:rsidP="0051398C">
      <w:pPr>
        <w:pStyle w:val="Caption"/>
        <w:jc w:val="center"/>
      </w:pPr>
      <w:bookmarkStart w:id="2" w:name="_Ref492378446"/>
      <w:r>
        <w:t xml:space="preserve">Figure </w:t>
      </w:r>
      <w:r w:rsidR="008954BB" w:rsidRPr="00EF5E8F">
        <w:fldChar w:fldCharType="begin"/>
      </w:r>
      <w:r w:rsidR="008954BB">
        <w:instrText xml:space="preserve"> SEQ Figure \* ARABIC </w:instrText>
      </w:r>
      <w:r w:rsidR="008954BB" w:rsidRPr="00EF5E8F">
        <w:fldChar w:fldCharType="separate"/>
      </w:r>
      <w:r w:rsidR="00E8231D">
        <w:rPr>
          <w:noProof/>
        </w:rPr>
        <w:t>2</w:t>
      </w:r>
      <w:r w:rsidR="008954BB" w:rsidRPr="00EF5E8F">
        <w:fldChar w:fldCharType="end"/>
      </w:r>
      <w:bookmarkEnd w:id="2"/>
      <w:r>
        <w:t>: Relation between the Root of Trust for Resiliency and the Trusted Computing Base</w:t>
      </w:r>
    </w:p>
    <w:p w14:paraId="34C10684" w14:textId="170FBD0B" w:rsidR="00D05B8F" w:rsidRDefault="00732C85" w:rsidP="00AC7689">
      <w:r>
        <w:t xml:space="preserve">Vendors </w:t>
      </w:r>
      <w:r w:rsidR="003F70B7">
        <w:t xml:space="preserve">can choose the precise </w:t>
      </w:r>
      <w:r w:rsidR="000B3CCD">
        <w:t xml:space="preserve">functions of the RTRes, but the following security functions </w:t>
      </w:r>
      <w:r w:rsidR="00055A8A">
        <w:t>will be</w:t>
      </w:r>
      <w:r w:rsidR="00EC26AB">
        <w:t xml:space="preserve"> common to a wide class of devices</w:t>
      </w:r>
      <w:r w:rsidR="00125EA4">
        <w:t>:</w:t>
      </w:r>
    </w:p>
    <w:p w14:paraId="455FEBCB" w14:textId="17204A52" w:rsidR="00EC26AB" w:rsidRDefault="00EC26AB" w:rsidP="00EC26AB">
      <w:pPr>
        <w:pStyle w:val="ListParagraph"/>
        <w:numPr>
          <w:ilvl w:val="0"/>
          <w:numId w:val="4"/>
        </w:numPr>
      </w:pPr>
      <w:r>
        <w:t xml:space="preserve">RTRes and Firmware Stored </w:t>
      </w:r>
      <w:r w:rsidR="00C61FDC">
        <w:t xml:space="preserve">Program </w:t>
      </w:r>
      <w:r>
        <w:t>Protection</w:t>
      </w:r>
    </w:p>
    <w:p w14:paraId="2A00A195" w14:textId="4CCFE6FB" w:rsidR="00EC26AB" w:rsidRDefault="00742F9F" w:rsidP="00EC26AB">
      <w:pPr>
        <w:pStyle w:val="ListParagraph"/>
        <w:numPr>
          <w:ilvl w:val="1"/>
          <w:numId w:val="4"/>
        </w:numPr>
      </w:pPr>
      <w:r>
        <w:t xml:space="preserve">The RTRes uses CyReP </w:t>
      </w:r>
      <w:r w:rsidR="004C4D8C">
        <w:t xml:space="preserve">hardware </w:t>
      </w:r>
      <w:r>
        <w:t xml:space="preserve">capabilities to write-protect itself and </w:t>
      </w:r>
      <w:r w:rsidR="0076106D">
        <w:t>other critical firmware and state (ideally including the remainder of the TCB and application</w:t>
      </w:r>
      <w:r w:rsidR="00705B7B">
        <w:t>s</w:t>
      </w:r>
      <w:r w:rsidR="0076106D">
        <w:t>)</w:t>
      </w:r>
    </w:p>
    <w:p w14:paraId="68F18BDA" w14:textId="4A42E7C0" w:rsidR="0076106D" w:rsidRDefault="00BE4499" w:rsidP="00BE4499">
      <w:pPr>
        <w:pStyle w:val="ListParagraph"/>
        <w:numPr>
          <w:ilvl w:val="0"/>
          <w:numId w:val="4"/>
        </w:numPr>
      </w:pPr>
      <w:r>
        <w:t xml:space="preserve">Secure boot and </w:t>
      </w:r>
      <w:r w:rsidR="00790D7E">
        <w:t>other firmware integrity assessment functions</w:t>
      </w:r>
    </w:p>
    <w:p w14:paraId="7C57C25B" w14:textId="66D11A6F" w:rsidR="00790D7E" w:rsidRDefault="006D3BB6" w:rsidP="00BE4499">
      <w:pPr>
        <w:pStyle w:val="ListParagraph"/>
        <w:numPr>
          <w:ilvl w:val="0"/>
          <w:numId w:val="4"/>
        </w:numPr>
      </w:pPr>
      <w:r>
        <w:t>Creat</w:t>
      </w:r>
      <w:r w:rsidR="00287348">
        <w:t xml:space="preserve">ing keys and certificates for </w:t>
      </w:r>
      <w:r w:rsidR="00924505">
        <w:t xml:space="preserve">identifying the </w:t>
      </w:r>
      <w:r w:rsidR="00435E70">
        <w:t>device</w:t>
      </w:r>
    </w:p>
    <w:p w14:paraId="6F1F9B68" w14:textId="2E09A828" w:rsidR="00055A8A" w:rsidRDefault="00055A8A" w:rsidP="00055A8A">
      <w:pPr>
        <w:pStyle w:val="ListParagraph"/>
        <w:numPr>
          <w:ilvl w:val="1"/>
          <w:numId w:val="4"/>
        </w:numPr>
      </w:pPr>
      <w:r>
        <w:t xml:space="preserve">Platform keys can be </w:t>
      </w:r>
      <w:r w:rsidR="000D6D24">
        <w:t xml:space="preserve">derived from </w:t>
      </w:r>
      <w:r w:rsidR="00AD2120">
        <w:t xml:space="preserve">keys </w:t>
      </w:r>
      <w:r>
        <w:t>fetched from read-protected storage, or other secure elements</w:t>
      </w:r>
    </w:p>
    <w:p w14:paraId="73F79B6B" w14:textId="7B729779" w:rsidR="00435E70" w:rsidRDefault="00475264" w:rsidP="00BE4499">
      <w:pPr>
        <w:pStyle w:val="ListParagraph"/>
        <w:numPr>
          <w:ilvl w:val="0"/>
          <w:numId w:val="4"/>
        </w:numPr>
      </w:pPr>
      <w:r>
        <w:t xml:space="preserve">Cryptographically attesting the current firmware version or </w:t>
      </w:r>
      <w:r w:rsidR="004B6891">
        <w:t xml:space="preserve">firmware </w:t>
      </w:r>
      <w:r>
        <w:t xml:space="preserve">identity </w:t>
      </w:r>
    </w:p>
    <w:p w14:paraId="0A6CFDFE" w14:textId="2B59B548" w:rsidR="00707088" w:rsidRDefault="00AD2120" w:rsidP="00BE4499">
      <w:pPr>
        <w:pStyle w:val="ListParagraph"/>
        <w:numPr>
          <w:ilvl w:val="0"/>
          <w:numId w:val="4"/>
        </w:numPr>
      </w:pPr>
      <w:r>
        <w:t>A</w:t>
      </w:r>
      <w:r w:rsidR="00707088">
        <w:t>ssess</w:t>
      </w:r>
      <w:r>
        <w:t>ing</w:t>
      </w:r>
      <w:r w:rsidR="00707088">
        <w:t xml:space="preserve"> whether the device is authorized and healthy, and contact</w:t>
      </w:r>
      <w:r>
        <w:t>ing</w:t>
      </w:r>
      <w:r w:rsidR="00707088">
        <w:t xml:space="preserve"> the </w:t>
      </w:r>
      <w:r w:rsidR="00055A8A">
        <w:t>management service</w:t>
      </w:r>
      <w:r>
        <w:t xml:space="preserve"> </w:t>
      </w:r>
      <w:r w:rsidR="00D15FE7">
        <w:t>for servicing instructions</w:t>
      </w:r>
    </w:p>
    <w:p w14:paraId="3D23834B" w14:textId="110DB0C1" w:rsidR="00475264" w:rsidRDefault="00AB79F1" w:rsidP="00BE4499">
      <w:pPr>
        <w:pStyle w:val="ListParagraph"/>
        <w:numPr>
          <w:ilvl w:val="0"/>
          <w:numId w:val="4"/>
        </w:numPr>
      </w:pPr>
      <w:r>
        <w:t xml:space="preserve">Secure </w:t>
      </w:r>
      <w:r w:rsidR="00D15FE7">
        <w:t xml:space="preserve">and reliable </w:t>
      </w:r>
      <w:r>
        <w:t xml:space="preserve">update of </w:t>
      </w:r>
      <w:r w:rsidR="00AD57C5">
        <w:t>firmware</w:t>
      </w:r>
    </w:p>
    <w:p w14:paraId="3978DEA8" w14:textId="58F49269" w:rsidR="00707088" w:rsidRDefault="00707088" w:rsidP="00707088">
      <w:r>
        <w:t>A detailed description of the operation of an archetypal RTRes is presented in</w:t>
      </w:r>
      <w:r w:rsidR="00F55D8E">
        <w:t xml:space="preserve"> </w:t>
      </w:r>
      <w:sdt>
        <w:sdtPr>
          <w:id w:val="-2077121122"/>
          <w:citation/>
        </w:sdtPr>
        <w:sdtEndPr/>
        <w:sdtContent>
          <w:r w:rsidR="00934153">
            <w:fldChar w:fldCharType="begin"/>
          </w:r>
          <w:r w:rsidR="00934153">
            <w:instrText xml:space="preserve"> CITATION Eng \l 1033 </w:instrText>
          </w:r>
          <w:r w:rsidR="00934153">
            <w:fldChar w:fldCharType="separate"/>
          </w:r>
          <w:r w:rsidR="00934153" w:rsidRPr="00934153">
            <w:rPr>
              <w:noProof/>
            </w:rPr>
            <w:t>[7]</w:t>
          </w:r>
          <w:r w:rsidR="00934153">
            <w:fldChar w:fldCharType="end"/>
          </w:r>
        </w:sdtContent>
      </w:sdt>
      <w:r>
        <w:t>.</w:t>
      </w:r>
    </w:p>
    <w:p w14:paraId="75D6AD24" w14:textId="2D5BAD5F" w:rsidR="00707088" w:rsidRDefault="00707088" w:rsidP="00707088">
      <w:r>
        <w:t xml:space="preserve">Microsoft </w:t>
      </w:r>
      <w:r w:rsidR="006145A7">
        <w:t xml:space="preserve">will be </w:t>
      </w:r>
      <w:r>
        <w:t>open-sourcing portable libraries and boot code</w:t>
      </w:r>
      <w:r w:rsidR="00055A8A">
        <w:t xml:space="preserve"> ported to popular devices</w:t>
      </w:r>
      <w:r>
        <w:t xml:space="preserve"> that implement these functions.  </w:t>
      </w:r>
    </w:p>
    <w:p w14:paraId="5CC0F25B" w14:textId="20AF5247" w:rsidR="00846805" w:rsidRDefault="00846805" w:rsidP="00846805">
      <w:pPr>
        <w:pStyle w:val="Heading2"/>
      </w:pPr>
      <w:r>
        <w:lastRenderedPageBreak/>
        <w:t>RTRes Architecture</w:t>
      </w:r>
    </w:p>
    <w:p w14:paraId="48791A8A" w14:textId="3116D9D9" w:rsidR="006417DB" w:rsidRDefault="00846805" w:rsidP="00707088">
      <w:r>
        <w:t xml:space="preserve">Several RTRes functions </w:t>
      </w:r>
      <w:r w:rsidR="00FC1D9C">
        <w:t xml:space="preserve">need significant </w:t>
      </w:r>
      <w:r w:rsidR="00815BD9">
        <w:t>system software/library support: for example, a network stack is required to download a firmware patch.</w:t>
      </w:r>
      <w:r w:rsidR="00C200E8">
        <w:t xml:space="preserve">  </w:t>
      </w:r>
    </w:p>
    <w:p w14:paraId="42216AE8" w14:textId="4F00BEBD" w:rsidR="006145A7" w:rsidRDefault="009D02CF" w:rsidP="00707088">
      <w:r>
        <w:t>The hosting environment for the</w:t>
      </w:r>
      <w:r w:rsidR="00C200E8">
        <w:t xml:space="preserve"> </w:t>
      </w:r>
      <w:r w:rsidR="00813808">
        <w:t>Root of Trust for Resiliency</w:t>
      </w:r>
      <w:r w:rsidR="00846805">
        <w:t xml:space="preserve"> </w:t>
      </w:r>
      <w:r w:rsidR="00BF173E">
        <w:t>for a PC/server</w:t>
      </w:r>
      <w:r w:rsidR="00174AA3">
        <w:t>-style device</w:t>
      </w:r>
      <w:r w:rsidR="00BF173E">
        <w:t xml:space="preserve"> is</w:t>
      </w:r>
      <w:r w:rsidR="00846805">
        <w:t xml:space="preserve"> the BIOS/UEFI-layer</w:t>
      </w:r>
      <w:r>
        <w:t>, as illustrated</w:t>
      </w:r>
      <w:r w:rsidR="00846805">
        <w:t xml:space="preserve"> in </w:t>
      </w:r>
      <w:r w:rsidR="006145A7">
        <w:t xml:space="preserve"> </w:t>
      </w:r>
      <w:r w:rsidR="006145A7">
        <w:fldChar w:fldCharType="begin"/>
      </w:r>
      <w:r w:rsidR="006145A7">
        <w:instrText xml:space="preserve"> REF _Ref492378600 \h </w:instrText>
      </w:r>
      <w:r w:rsidR="006145A7">
        <w:fldChar w:fldCharType="separate"/>
      </w:r>
      <w:r w:rsidR="00E8231D">
        <w:t xml:space="preserve">Figure </w:t>
      </w:r>
      <w:r w:rsidR="00E8231D">
        <w:rPr>
          <w:noProof/>
        </w:rPr>
        <w:t>3</w:t>
      </w:r>
      <w:r w:rsidR="006145A7">
        <w:fldChar w:fldCharType="end"/>
      </w:r>
      <w:r w:rsidR="006145A7">
        <w:t xml:space="preserve"> </w:t>
      </w:r>
      <w:r w:rsidR="00846805">
        <w:t>(a).</w:t>
      </w:r>
      <w:r w:rsidR="006417DB">
        <w:t xml:space="preserve"> </w:t>
      </w:r>
      <w:r w:rsidR="00846805">
        <w:t xml:space="preserve">Unfortunately, an independent network stack for </w:t>
      </w:r>
      <w:r w:rsidR="00717284">
        <w:t>recovery add</w:t>
      </w:r>
      <w:r w:rsidR="00092A84">
        <w:t>s</w:t>
      </w:r>
      <w:r w:rsidR="00717284">
        <w:t xml:space="preserve"> har</w:t>
      </w:r>
      <w:r w:rsidR="00092A84">
        <w:t>dware</w:t>
      </w:r>
      <w:r w:rsidR="00717284">
        <w:t xml:space="preserve"> and ongoing maintenance costs</w:t>
      </w:r>
      <w:r w:rsidR="00BF173E">
        <w:t>, so this architecture is</w:t>
      </w:r>
      <w:r w:rsidR="00717284">
        <w:t xml:space="preserve"> a poor choice for IoT devices.   </w:t>
      </w:r>
    </w:p>
    <w:p w14:paraId="386E04F9" w14:textId="65A72496" w:rsidR="000F127C" w:rsidRDefault="00717284" w:rsidP="00707088">
      <w:r>
        <w:t>An alternative architecture is to re-use the functions in the main device firmware</w:t>
      </w:r>
      <w:r w:rsidR="00BF173E">
        <w:t xml:space="preserve">, and employ CyReP hardware protections to enhance the security and resiliency of the </w:t>
      </w:r>
      <w:r w:rsidR="00092A84">
        <w:t xml:space="preserve">combined </w:t>
      </w:r>
      <w:r w:rsidR="0029751C">
        <w:t xml:space="preserve">TCB/RTRes functions.  </w:t>
      </w:r>
      <w:r w:rsidR="00092A84">
        <w:t xml:space="preserve">At first </w:t>
      </w:r>
      <w:r w:rsidR="00370EDC">
        <w:t>sight,</w:t>
      </w:r>
      <w:r w:rsidR="00092A84">
        <w:t xml:space="preserve"> this </w:t>
      </w:r>
      <w:r w:rsidR="00A551EA">
        <w:t xml:space="preserve">architecture </w:t>
      </w:r>
      <w:r w:rsidR="00092A84">
        <w:t xml:space="preserve">seems a poor choice: the entirety of device firmware is likely to be vastly more complicated than the </w:t>
      </w:r>
      <w:r w:rsidR="00461F07">
        <w:t xml:space="preserve">subset of the </w:t>
      </w:r>
      <w:r w:rsidR="00092A84">
        <w:t xml:space="preserve">functionality required by the Root of Trust for Resiliency, </w:t>
      </w:r>
      <w:r w:rsidR="00370EDC">
        <w:t xml:space="preserve">so </w:t>
      </w:r>
      <w:r w:rsidR="00092A84">
        <w:t xml:space="preserve">it is not immediately apparent that a firmware-integrated RTRes results in an architecture that is more robust than simple device-firmware-mediated update.  </w:t>
      </w:r>
      <w:r w:rsidR="00137CB0">
        <w:t xml:space="preserve">Fortunately, </w:t>
      </w:r>
      <w:r w:rsidR="00C838A5">
        <w:t xml:space="preserve">there are two </w:t>
      </w:r>
      <w:r w:rsidR="00303E0E">
        <w:t>vulnerability mitigation</w:t>
      </w:r>
      <w:r w:rsidR="00C838A5">
        <w:t xml:space="preserve"> strategies that can vastly </w:t>
      </w:r>
      <w:r w:rsidR="004621AA">
        <w:t xml:space="preserve">improve the assurance level of </w:t>
      </w:r>
      <w:r w:rsidR="0024647B">
        <w:t xml:space="preserve">the combined </w:t>
      </w:r>
      <w:r w:rsidR="004621AA">
        <w:t xml:space="preserve">complex </w:t>
      </w:r>
      <w:r w:rsidR="00C838A5">
        <w:t>system.</w:t>
      </w:r>
    </w:p>
    <w:p w14:paraId="453648E8" w14:textId="73B06099" w:rsidR="004621AA" w:rsidRDefault="00163B69" w:rsidP="00707088">
      <w:r>
        <w:t xml:space="preserve">The first mitigation is </w:t>
      </w:r>
      <w:r w:rsidR="00DB3EB4">
        <w:t>to protect the</w:t>
      </w:r>
      <w:r w:rsidR="004621AA">
        <w:t xml:space="preserve"> </w:t>
      </w:r>
      <w:r w:rsidR="0024647B">
        <w:t xml:space="preserve">entirety of the TCB plus RTRes </w:t>
      </w:r>
      <w:r w:rsidR="00E05348">
        <w:t xml:space="preserve">early in boot </w:t>
      </w:r>
      <w:r w:rsidR="00C00C09" w:rsidRPr="003840EA">
        <w:rPr>
          <w:i/>
          <w:iCs/>
        </w:rPr>
        <w:t>during</w:t>
      </w:r>
      <w:r w:rsidR="0024647B" w:rsidRPr="000A7F43">
        <w:rPr>
          <w:i/>
          <w:iCs/>
        </w:rPr>
        <w:t xml:space="preserve"> normal operation</w:t>
      </w:r>
      <w:r w:rsidR="0024647B">
        <w:t xml:space="preserve">.  This </w:t>
      </w:r>
      <w:r w:rsidR="00C00C09">
        <w:t xml:space="preserve">means that </w:t>
      </w:r>
      <w:r w:rsidR="00F94F99">
        <w:t xml:space="preserve">if </w:t>
      </w:r>
      <w:r w:rsidR="00C00C09">
        <w:t xml:space="preserve">the complex system </w:t>
      </w:r>
      <w:r w:rsidR="00F94F99">
        <w:t>is</w:t>
      </w:r>
      <w:r w:rsidR="00C00C09">
        <w:t xml:space="preserve"> compromised at run-time, </w:t>
      </w:r>
      <w:r w:rsidR="00EF7922">
        <w:t>malware cannot persist itself</w:t>
      </w:r>
      <w:r w:rsidR="00F94F99">
        <w:t>,</w:t>
      </w:r>
      <w:r w:rsidR="00EF7922">
        <w:t xml:space="preserve"> and a </w:t>
      </w:r>
      <w:r>
        <w:t>platform reset will always return the system to a clean state.</w:t>
      </w:r>
    </w:p>
    <w:p w14:paraId="4CD62A98" w14:textId="04C135EC" w:rsidR="008F6FC2" w:rsidRDefault="00F4202B" w:rsidP="004D5A0E">
      <w:r>
        <w:t xml:space="preserve">The second mitigation is to define a </w:t>
      </w:r>
      <w:r w:rsidR="00092A84">
        <w:t>boot-time</w:t>
      </w:r>
      <w:r w:rsidR="00055A8A">
        <w:t>-selected</w:t>
      </w:r>
      <w:r w:rsidR="00092A84">
        <w:t xml:space="preserve"> </w:t>
      </w:r>
      <w:r w:rsidR="00092A84" w:rsidRPr="003840EA">
        <w:rPr>
          <w:i/>
          <w:iCs/>
        </w:rPr>
        <w:t>“safe mode”</w:t>
      </w:r>
      <w:r w:rsidR="00092A84">
        <w:t xml:space="preserve"> or </w:t>
      </w:r>
      <w:r w:rsidR="00092A84" w:rsidRPr="003840EA">
        <w:rPr>
          <w:i/>
          <w:iCs/>
        </w:rPr>
        <w:t>“RTRes mode”</w:t>
      </w:r>
      <w:r w:rsidR="00092A84">
        <w:t xml:space="preserve"> for the firmware, </w:t>
      </w:r>
      <w:r w:rsidR="008F6FC2">
        <w:t>which</w:t>
      </w:r>
      <w:r w:rsidR="00092A84">
        <w:t xml:space="preserve"> only runs the functions that are essential for recovery or </w:t>
      </w:r>
      <w:r w:rsidR="008D7F7B">
        <w:t xml:space="preserve">other RTRes </w:t>
      </w:r>
      <w:r w:rsidR="00092A84">
        <w:t xml:space="preserve">management </w:t>
      </w:r>
      <w:r w:rsidR="000F127C">
        <w:t>functions</w:t>
      </w:r>
      <w:r w:rsidR="00092A84">
        <w:t>.</w:t>
      </w:r>
      <w:r w:rsidR="008F6FC2">
        <w:t xml:space="preserve">  </w:t>
      </w:r>
      <w:r w:rsidR="000F127C">
        <w:t xml:space="preserve">The reason </w:t>
      </w:r>
      <w:r w:rsidR="00AC3FB2">
        <w:t xml:space="preserve">why </w:t>
      </w:r>
      <w:r w:rsidR="008D7F7B">
        <w:t xml:space="preserve">this improves </w:t>
      </w:r>
      <w:r w:rsidR="000F127C">
        <w:t>resilien</w:t>
      </w:r>
      <w:r w:rsidR="008D7F7B">
        <w:t xml:space="preserve">cy </w:t>
      </w:r>
      <w:r w:rsidR="000F127C">
        <w:t xml:space="preserve">is that </w:t>
      </w:r>
      <w:r w:rsidR="0026602A">
        <w:t xml:space="preserve">OS </w:t>
      </w:r>
      <w:r w:rsidR="000F127C">
        <w:t>bugs are only exploitable if attackers can reach them.  The main threat to IoT devices is from network-based attacks, so a recovery mode that only runs applications and services necessary for the recovery mission, and only connects to cryptographically authenticated endpoints</w:t>
      </w:r>
      <w:r w:rsidR="00055A8A">
        <w:t xml:space="preserve">, presents a far </w:t>
      </w:r>
      <w:r w:rsidR="004D5A0E">
        <w:t xml:space="preserve">smaller surface for attackers.  Practically, we expect that a well-designed RTRes-mode can be just as safe as a </w:t>
      </w:r>
      <w:r w:rsidR="000F127C">
        <w:t xml:space="preserve">dedicated recovery module (perhaps </w:t>
      </w:r>
      <w:r w:rsidR="00655F5A">
        <w:t>safer</w:t>
      </w:r>
      <w:r w:rsidR="000F127C">
        <w:t xml:space="preserve"> because the main firmware network stack will be better tested)</w:t>
      </w:r>
      <w:r w:rsidR="0058580B">
        <w:t>.</w:t>
      </w:r>
    </w:p>
    <w:p w14:paraId="45331BEA" w14:textId="0F472A3C" w:rsidR="00846805" w:rsidRDefault="00655F5A" w:rsidP="00707088">
      <w:r>
        <w:t xml:space="preserve">This is illustrated in </w:t>
      </w:r>
      <w:r w:rsidR="00317ECB">
        <w:t xml:space="preserve"> </w:t>
      </w:r>
      <w:r w:rsidR="00317ECB">
        <w:fldChar w:fldCharType="begin"/>
      </w:r>
      <w:r w:rsidR="00317ECB">
        <w:instrText xml:space="preserve"> REF _Ref492378600 \h </w:instrText>
      </w:r>
      <w:r w:rsidR="00317ECB">
        <w:fldChar w:fldCharType="separate"/>
      </w:r>
      <w:r w:rsidR="00E8231D">
        <w:t xml:space="preserve">Figure </w:t>
      </w:r>
      <w:r w:rsidR="00E8231D">
        <w:rPr>
          <w:noProof/>
        </w:rPr>
        <w:t>3</w:t>
      </w:r>
      <w:r w:rsidR="00317ECB">
        <w:fldChar w:fldCharType="end"/>
      </w:r>
      <w:r w:rsidR="00317ECB">
        <w:t xml:space="preserve"> </w:t>
      </w:r>
      <w:r>
        <w:t xml:space="preserve">(b) and is discussed more in </w:t>
      </w:r>
      <w:sdt>
        <w:sdtPr>
          <w:id w:val="-1664391643"/>
          <w:citation/>
        </w:sdtPr>
        <w:sdtEndPr/>
        <w:sdtContent>
          <w:r w:rsidR="00317ECB">
            <w:fldChar w:fldCharType="begin"/>
          </w:r>
          <w:r w:rsidR="00317ECB">
            <w:instrText xml:space="preserve"> CITATION Eng \l 1033 </w:instrText>
          </w:r>
          <w:r w:rsidR="00317ECB">
            <w:fldChar w:fldCharType="separate"/>
          </w:r>
          <w:r w:rsidR="00317ECB" w:rsidRPr="00317ECB">
            <w:rPr>
              <w:noProof/>
            </w:rPr>
            <w:t>[7]</w:t>
          </w:r>
          <w:r w:rsidR="00317ECB">
            <w:fldChar w:fldCharType="end"/>
          </w:r>
        </w:sdtContent>
      </w:sdt>
      <w:r w:rsidR="00317ECB">
        <w:t>.</w:t>
      </w:r>
    </w:p>
    <w:p w14:paraId="1B900A37" w14:textId="2E6780D4" w:rsidR="00FC3B7F" w:rsidRDefault="00A268E8" w:rsidP="00FC3B7F">
      <w:pPr>
        <w:keepNext/>
        <w:jc w:val="center"/>
      </w:pPr>
      <w:r>
        <w:object w:dxaOrig="12015" w:dyaOrig="6706" w14:anchorId="4C06168C">
          <v:shape id="_x0000_i1027" type="#_x0000_t75" style="width:379.5pt;height:212.25pt" o:ole="">
            <v:imagedata r:id="rId16" o:title=""/>
          </v:shape>
          <o:OLEObject Type="Embed" ProgID="Visio.Drawing.15" ShapeID="_x0000_i1027" DrawAspect="Content" ObjectID="_1567489453" r:id="rId17"/>
        </w:object>
      </w:r>
    </w:p>
    <w:p w14:paraId="29B5EF4C" w14:textId="47B245C5" w:rsidR="00A9468B" w:rsidRPr="008342B4" w:rsidRDefault="00FC3B7F" w:rsidP="00FC3B7F">
      <w:pPr>
        <w:pStyle w:val="Caption"/>
        <w:jc w:val="center"/>
      </w:pPr>
      <w:bookmarkStart w:id="3" w:name="_Ref492378600"/>
      <w:r>
        <w:t xml:space="preserve">Figure </w:t>
      </w:r>
      <w:r w:rsidR="008954BB" w:rsidRPr="00EF5E8F">
        <w:fldChar w:fldCharType="begin"/>
      </w:r>
      <w:r w:rsidR="008954BB">
        <w:instrText xml:space="preserve"> SEQ Figure \* ARABIC </w:instrText>
      </w:r>
      <w:r w:rsidR="008954BB" w:rsidRPr="00EF5E8F">
        <w:fldChar w:fldCharType="separate"/>
      </w:r>
      <w:r w:rsidR="00E8231D">
        <w:rPr>
          <w:noProof/>
        </w:rPr>
        <w:t>3</w:t>
      </w:r>
      <w:r w:rsidR="008954BB" w:rsidRPr="00EF5E8F">
        <w:fldChar w:fldCharType="end"/>
      </w:r>
      <w:bookmarkEnd w:id="3"/>
      <w:r>
        <w:t>:</w:t>
      </w:r>
      <w:r w:rsidR="00A268E8">
        <w:t xml:space="preserve"> Two approaches to implementing an RTRes.  Devices that </w:t>
      </w:r>
      <w:r w:rsidR="00F8353F">
        <w:t>separate “firmware” (e.g. the BIOS) from “software” (e.g. the OS and applications) can implement RTRes</w:t>
      </w:r>
      <w:r w:rsidR="0035285C">
        <w:t xml:space="preserve"> functions in the firmware.  </w:t>
      </w:r>
      <w:r w:rsidR="004C6CFC">
        <w:t xml:space="preserve">An alternative approach is </w:t>
      </w:r>
      <w:r w:rsidR="00C26D42">
        <w:t xml:space="preserve">a combined </w:t>
      </w:r>
      <w:r w:rsidR="00D83CEC">
        <w:t>system that implements a</w:t>
      </w:r>
      <w:r w:rsidR="004C6CFC">
        <w:t xml:space="preserve"> </w:t>
      </w:r>
      <w:r w:rsidR="00F47E6C">
        <w:t xml:space="preserve">boot-time </w:t>
      </w:r>
      <w:r w:rsidR="004C6CFC">
        <w:t xml:space="preserve">“safe mode” or “RTRes Mode” that </w:t>
      </w:r>
      <w:r w:rsidR="00D83CEC">
        <w:t xml:space="preserve">only </w:t>
      </w:r>
      <w:r w:rsidR="002B2F01">
        <w:t>(</w:t>
      </w:r>
      <w:r w:rsidR="00477C17">
        <w:t>i</w:t>
      </w:r>
      <w:r w:rsidR="002B2F01">
        <w:t>) loads/runs the minimum set of functions required for the resiliency mission, and (</w:t>
      </w:r>
      <w:r w:rsidR="00477C17">
        <w:t>ii</w:t>
      </w:r>
      <w:r w:rsidR="002B2F01">
        <w:t xml:space="preserve">) </w:t>
      </w:r>
      <w:r w:rsidR="00FA761F">
        <w:t>strictly limits network connections to authorized entities like the manag</w:t>
      </w:r>
      <w:r w:rsidR="00477C17">
        <w:t xml:space="preserve">ement controller.  Note that the </w:t>
      </w:r>
      <w:r w:rsidR="008342B4">
        <w:t xml:space="preserve">RTRes components (and the OS components on which it depends) </w:t>
      </w:r>
      <w:r w:rsidR="008342B4" w:rsidRPr="003840EA">
        <w:rPr>
          <w:b/>
          <w:bCs/>
        </w:rPr>
        <w:t>must</w:t>
      </w:r>
      <w:r w:rsidR="008342B4" w:rsidRPr="000A7F43">
        <w:rPr>
          <w:b/>
          <w:bCs/>
          <w:i w:val="0"/>
          <w:iCs w:val="0"/>
        </w:rPr>
        <w:t xml:space="preserve"> </w:t>
      </w:r>
      <w:r w:rsidR="008342B4">
        <w:t xml:space="preserve">be </w:t>
      </w:r>
      <w:r w:rsidR="009469F5">
        <w:t>write-protected during normal operation for highest assurance.</w:t>
      </w:r>
    </w:p>
    <w:p w14:paraId="39C67418" w14:textId="7C250D9D" w:rsidR="00655F5A" w:rsidRDefault="00655F5A" w:rsidP="00655F5A">
      <w:pPr>
        <w:pStyle w:val="Heading1"/>
      </w:pPr>
      <w:r>
        <w:t>Conclusions</w:t>
      </w:r>
    </w:p>
    <w:p w14:paraId="348837EC" w14:textId="07299300" w:rsidR="00655F5A" w:rsidRDefault="00E30DF3" w:rsidP="00707088">
      <w:r>
        <w:t xml:space="preserve">Many </w:t>
      </w:r>
      <w:r w:rsidR="00B81B88">
        <w:t xml:space="preserve">SoCs, storage controllers and platforms </w:t>
      </w:r>
      <w:r>
        <w:t>include dedicated security and resiliency features, but widespread adoption has been hindered by lack of ubiquity, lack of a coherent architecture employing the features, lack of open-source software enabling the features, and lack of protocol standards that align with the hardware security features.</w:t>
      </w:r>
    </w:p>
    <w:p w14:paraId="72E57B3B" w14:textId="469FAB1E" w:rsidR="00E30DF3" w:rsidRDefault="00E30DF3" w:rsidP="00707088">
      <w:r>
        <w:t>The CyReP industry initiative is attempting to remedy this with a comprehensive set of standards and solutions that can be the foundation for the next generation of IoT devices.</w:t>
      </w:r>
    </w:p>
    <w:sdt>
      <w:sdtPr>
        <w:rPr>
          <w:rFonts w:asciiTheme="minorHAnsi" w:eastAsiaTheme="minorHAnsi" w:hAnsiTheme="minorHAnsi" w:cstheme="minorBidi"/>
          <w:color w:val="auto"/>
          <w:sz w:val="22"/>
          <w:szCs w:val="22"/>
        </w:rPr>
        <w:id w:val="-949782446"/>
        <w:docPartObj>
          <w:docPartGallery w:val="Bibliographies"/>
          <w:docPartUnique/>
        </w:docPartObj>
      </w:sdtPr>
      <w:sdtEndPr/>
      <w:sdtContent>
        <w:p w14:paraId="126B9D35" w14:textId="19CCE5CB" w:rsidR="003F0DFA" w:rsidRDefault="003F0DFA">
          <w:pPr>
            <w:pStyle w:val="Heading1"/>
          </w:pPr>
          <w:r>
            <w:t>Bibliography</w:t>
          </w:r>
        </w:p>
        <w:sdt>
          <w:sdtPr>
            <w:rPr>
              <w:rFonts w:asciiTheme="minorHAnsi" w:eastAsiaTheme="minorHAnsi" w:hAnsiTheme="minorHAnsi" w:cstheme="minorBidi"/>
              <w:color w:val="auto"/>
              <w:sz w:val="22"/>
              <w:szCs w:val="22"/>
            </w:rPr>
            <w:id w:val="111145805"/>
            <w:bibliography/>
          </w:sdtPr>
          <w:sdtEndPr/>
          <w:sdtContent>
            <w:p w14:paraId="19C95F1A" w14:textId="77777777" w:rsidR="005B0716" w:rsidRDefault="003F0DFA" w:rsidP="00EF5E8F">
              <w:pPr>
                <w:pStyle w:val="Heading1"/>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038"/>
              </w:tblGrid>
              <w:tr w:rsidR="005B0716" w14:paraId="6DD37C8F" w14:textId="77777777">
                <w:trPr>
                  <w:divId w:val="1240168458"/>
                  <w:tblCellSpacing w:w="15" w:type="dxa"/>
                </w:trPr>
                <w:tc>
                  <w:tcPr>
                    <w:tcW w:w="50" w:type="pct"/>
                    <w:hideMark/>
                  </w:tcPr>
                  <w:p w14:paraId="489C30C6" w14:textId="62881638" w:rsidR="005B0716" w:rsidRDefault="005B0716">
                    <w:pPr>
                      <w:pStyle w:val="Bibliography"/>
                      <w:rPr>
                        <w:noProof/>
                        <w:sz w:val="24"/>
                        <w:szCs w:val="24"/>
                      </w:rPr>
                    </w:pPr>
                    <w:r>
                      <w:rPr>
                        <w:noProof/>
                      </w:rPr>
                      <w:t xml:space="preserve">[1] </w:t>
                    </w:r>
                  </w:p>
                </w:tc>
                <w:tc>
                  <w:tcPr>
                    <w:tcW w:w="0" w:type="auto"/>
                    <w:hideMark/>
                  </w:tcPr>
                  <w:p w14:paraId="2B0805CE" w14:textId="77777777" w:rsidR="005B0716" w:rsidRDefault="005B0716">
                    <w:pPr>
                      <w:pStyle w:val="Bibliography"/>
                      <w:rPr>
                        <w:noProof/>
                      </w:rPr>
                    </w:pPr>
                    <w:r>
                      <w:rPr>
                        <w:noProof/>
                      </w:rPr>
                      <w:t xml:space="preserve">A. Regenscheid, </w:t>
                    </w:r>
                    <w:r>
                      <w:rPr>
                        <w:i/>
                        <w:iCs/>
                        <w:noProof/>
                      </w:rPr>
                      <w:t xml:space="preserve">Platform Firmware Resiliency Guidelines - SP 800-193 (DRAFT), </w:t>
                    </w:r>
                    <w:r>
                      <w:rPr>
                        <w:noProof/>
                      </w:rPr>
                      <w:t xml:space="preserve">2017. </w:t>
                    </w:r>
                  </w:p>
                </w:tc>
              </w:tr>
              <w:tr w:rsidR="005B0716" w14:paraId="134D205E" w14:textId="77777777">
                <w:trPr>
                  <w:divId w:val="1240168458"/>
                  <w:tblCellSpacing w:w="15" w:type="dxa"/>
                </w:trPr>
                <w:tc>
                  <w:tcPr>
                    <w:tcW w:w="50" w:type="pct"/>
                    <w:hideMark/>
                  </w:tcPr>
                  <w:p w14:paraId="655E7A26" w14:textId="77777777" w:rsidR="005B0716" w:rsidRDefault="005B0716">
                    <w:pPr>
                      <w:pStyle w:val="Bibliography"/>
                      <w:rPr>
                        <w:noProof/>
                      </w:rPr>
                    </w:pPr>
                    <w:r>
                      <w:rPr>
                        <w:noProof/>
                      </w:rPr>
                      <w:t xml:space="preserve">[2] </w:t>
                    </w:r>
                  </w:p>
                </w:tc>
                <w:tc>
                  <w:tcPr>
                    <w:tcW w:w="0" w:type="auto"/>
                    <w:hideMark/>
                  </w:tcPr>
                  <w:p w14:paraId="7480FBE9" w14:textId="77777777" w:rsidR="005B0716" w:rsidRDefault="005B0716">
                    <w:pPr>
                      <w:pStyle w:val="Bibliography"/>
                      <w:rPr>
                        <w:noProof/>
                      </w:rPr>
                    </w:pPr>
                    <w:r>
                      <w:rPr>
                        <w:noProof/>
                      </w:rPr>
                      <w:t xml:space="preserve">P. England, R. Aigner, A. Marochko, D. Mattoon, R. Spiger and S. Thom, </w:t>
                    </w:r>
                    <w:r>
                      <w:rPr>
                        <w:i/>
                        <w:iCs/>
                        <w:noProof/>
                      </w:rPr>
                      <w:t xml:space="preserve">Cyber-Resilient Platform Requirements, </w:t>
                    </w:r>
                    <w:r>
                      <w:rPr>
                        <w:noProof/>
                      </w:rPr>
                      <w:t xml:space="preserve">2017. </w:t>
                    </w:r>
                  </w:p>
                </w:tc>
              </w:tr>
              <w:tr w:rsidR="005B0716" w14:paraId="68375A42" w14:textId="77777777">
                <w:trPr>
                  <w:divId w:val="1240168458"/>
                  <w:tblCellSpacing w:w="15" w:type="dxa"/>
                </w:trPr>
                <w:tc>
                  <w:tcPr>
                    <w:tcW w:w="50" w:type="pct"/>
                    <w:hideMark/>
                  </w:tcPr>
                  <w:p w14:paraId="10DF8068" w14:textId="77777777" w:rsidR="005B0716" w:rsidRDefault="005B0716">
                    <w:pPr>
                      <w:pStyle w:val="Bibliography"/>
                      <w:rPr>
                        <w:noProof/>
                      </w:rPr>
                    </w:pPr>
                    <w:r>
                      <w:rPr>
                        <w:noProof/>
                      </w:rPr>
                      <w:t xml:space="preserve">[3] </w:t>
                    </w:r>
                  </w:p>
                </w:tc>
                <w:tc>
                  <w:tcPr>
                    <w:tcW w:w="0" w:type="auto"/>
                    <w:hideMark/>
                  </w:tcPr>
                  <w:p w14:paraId="694DC97B" w14:textId="77777777" w:rsidR="005B0716" w:rsidRDefault="005B0716">
                    <w:pPr>
                      <w:pStyle w:val="Bibliography"/>
                      <w:rPr>
                        <w:noProof/>
                      </w:rPr>
                    </w:pPr>
                    <w:r>
                      <w:rPr>
                        <w:i/>
                        <w:iCs/>
                        <w:noProof/>
                      </w:rPr>
                      <w:t>Trusted Platform Architecture - Hardware Requirements for a Device Identifier Composition Engine (DRAFT).</w:t>
                    </w:r>
                    <w:r>
                      <w:rPr>
                        <w:noProof/>
                      </w:rPr>
                      <w:t xml:space="preserve"> </w:t>
                    </w:r>
                  </w:p>
                </w:tc>
              </w:tr>
              <w:tr w:rsidR="005B0716" w14:paraId="71F1B1AF" w14:textId="77777777">
                <w:trPr>
                  <w:divId w:val="1240168458"/>
                  <w:tblCellSpacing w:w="15" w:type="dxa"/>
                </w:trPr>
                <w:tc>
                  <w:tcPr>
                    <w:tcW w:w="50" w:type="pct"/>
                    <w:hideMark/>
                  </w:tcPr>
                  <w:p w14:paraId="2E8E895E" w14:textId="77777777" w:rsidR="005B0716" w:rsidRDefault="005B0716">
                    <w:pPr>
                      <w:pStyle w:val="Bibliography"/>
                      <w:rPr>
                        <w:noProof/>
                      </w:rPr>
                    </w:pPr>
                    <w:r>
                      <w:rPr>
                        <w:noProof/>
                      </w:rPr>
                      <w:t xml:space="preserve">[4] </w:t>
                    </w:r>
                  </w:p>
                </w:tc>
                <w:tc>
                  <w:tcPr>
                    <w:tcW w:w="0" w:type="auto"/>
                    <w:hideMark/>
                  </w:tcPr>
                  <w:p w14:paraId="2D38AA80" w14:textId="77777777" w:rsidR="005B0716" w:rsidRDefault="005B0716">
                    <w:pPr>
                      <w:pStyle w:val="Bibliography"/>
                      <w:rPr>
                        <w:noProof/>
                      </w:rPr>
                    </w:pPr>
                    <w:r>
                      <w:rPr>
                        <w:noProof/>
                      </w:rPr>
                      <w:t xml:space="preserve">P. England, A. Marochko, D. Mattoon , R. Spiger, S. Thom and D. Wooten, </w:t>
                    </w:r>
                    <w:r>
                      <w:rPr>
                        <w:i/>
                        <w:iCs/>
                        <w:noProof/>
                      </w:rPr>
                      <w:t>RIoT - A Foundation for Trust in the Internet of Things.</w:t>
                    </w:r>
                    <w:r>
                      <w:rPr>
                        <w:noProof/>
                      </w:rPr>
                      <w:t xml:space="preserve"> </w:t>
                    </w:r>
                  </w:p>
                </w:tc>
              </w:tr>
              <w:tr w:rsidR="005B0716" w14:paraId="129EF477" w14:textId="77777777">
                <w:trPr>
                  <w:divId w:val="1240168458"/>
                  <w:tblCellSpacing w:w="15" w:type="dxa"/>
                </w:trPr>
                <w:tc>
                  <w:tcPr>
                    <w:tcW w:w="50" w:type="pct"/>
                    <w:hideMark/>
                  </w:tcPr>
                  <w:p w14:paraId="603A87D3" w14:textId="77777777" w:rsidR="005B0716" w:rsidRDefault="005B0716">
                    <w:pPr>
                      <w:pStyle w:val="Bibliography"/>
                      <w:rPr>
                        <w:noProof/>
                      </w:rPr>
                    </w:pPr>
                    <w:r>
                      <w:rPr>
                        <w:noProof/>
                      </w:rPr>
                      <w:lastRenderedPageBreak/>
                      <w:t xml:space="preserve">[5] </w:t>
                    </w:r>
                  </w:p>
                </w:tc>
                <w:tc>
                  <w:tcPr>
                    <w:tcW w:w="0" w:type="auto"/>
                    <w:hideMark/>
                  </w:tcPr>
                  <w:p w14:paraId="4079903B" w14:textId="77777777" w:rsidR="005B0716" w:rsidRDefault="005B0716">
                    <w:pPr>
                      <w:pStyle w:val="Bibliography"/>
                      <w:rPr>
                        <w:noProof/>
                      </w:rPr>
                    </w:pPr>
                    <w:r>
                      <w:rPr>
                        <w:noProof/>
                      </w:rPr>
                      <w:t xml:space="preserve">P. England, R. Aigner, A. Marochko, D. Mattoon, R. Spiger and S. Thom, </w:t>
                    </w:r>
                    <w:r>
                      <w:rPr>
                        <w:i/>
                        <w:iCs/>
                        <w:noProof/>
                      </w:rPr>
                      <w:t>Authenticated Watchdog Timers.</w:t>
                    </w:r>
                    <w:r>
                      <w:rPr>
                        <w:noProof/>
                      </w:rPr>
                      <w:t xml:space="preserve"> </w:t>
                    </w:r>
                  </w:p>
                </w:tc>
              </w:tr>
              <w:tr w:rsidR="005B0716" w14:paraId="0CFF5F73" w14:textId="77777777">
                <w:trPr>
                  <w:divId w:val="1240168458"/>
                  <w:tblCellSpacing w:w="15" w:type="dxa"/>
                </w:trPr>
                <w:tc>
                  <w:tcPr>
                    <w:tcW w:w="50" w:type="pct"/>
                    <w:hideMark/>
                  </w:tcPr>
                  <w:p w14:paraId="77152237" w14:textId="77777777" w:rsidR="005B0716" w:rsidRDefault="005B0716">
                    <w:pPr>
                      <w:pStyle w:val="Bibliography"/>
                      <w:rPr>
                        <w:noProof/>
                      </w:rPr>
                    </w:pPr>
                    <w:r>
                      <w:rPr>
                        <w:noProof/>
                      </w:rPr>
                      <w:t xml:space="preserve">[6] </w:t>
                    </w:r>
                  </w:p>
                </w:tc>
                <w:tc>
                  <w:tcPr>
                    <w:tcW w:w="0" w:type="auto"/>
                    <w:hideMark/>
                  </w:tcPr>
                  <w:p w14:paraId="00CE7F89" w14:textId="77777777" w:rsidR="005B0716" w:rsidRDefault="005B0716">
                    <w:pPr>
                      <w:pStyle w:val="Bibliography"/>
                      <w:rPr>
                        <w:noProof/>
                      </w:rPr>
                    </w:pPr>
                    <w:r>
                      <w:rPr>
                        <w:noProof/>
                      </w:rPr>
                      <w:t xml:space="preserve">P. England, R. Aigner, A. Marochko, D. Mattoon, R. Spiger, S. Thom, K. Kane and G. Zaverucha, </w:t>
                    </w:r>
                    <w:r>
                      <w:rPr>
                        <w:i/>
                        <w:iCs/>
                        <w:noProof/>
                      </w:rPr>
                      <w:t xml:space="preserve">Device Identity with DICE and RIoT: Keys and Certificates, </w:t>
                    </w:r>
                    <w:r>
                      <w:rPr>
                        <w:noProof/>
                      </w:rPr>
                      <w:t xml:space="preserve">2017. </w:t>
                    </w:r>
                  </w:p>
                </w:tc>
              </w:tr>
              <w:tr w:rsidR="005B0716" w14:paraId="71368A42" w14:textId="77777777">
                <w:trPr>
                  <w:divId w:val="1240168458"/>
                  <w:tblCellSpacing w:w="15" w:type="dxa"/>
                </w:trPr>
                <w:tc>
                  <w:tcPr>
                    <w:tcW w:w="50" w:type="pct"/>
                    <w:hideMark/>
                  </w:tcPr>
                  <w:p w14:paraId="3BFD667E" w14:textId="77777777" w:rsidR="005B0716" w:rsidRDefault="005B0716">
                    <w:pPr>
                      <w:pStyle w:val="Bibliography"/>
                      <w:rPr>
                        <w:noProof/>
                      </w:rPr>
                    </w:pPr>
                    <w:r>
                      <w:rPr>
                        <w:noProof/>
                      </w:rPr>
                      <w:t xml:space="preserve">[7] </w:t>
                    </w:r>
                  </w:p>
                </w:tc>
                <w:tc>
                  <w:tcPr>
                    <w:tcW w:w="0" w:type="auto"/>
                    <w:hideMark/>
                  </w:tcPr>
                  <w:p w14:paraId="0351B918" w14:textId="77777777" w:rsidR="005B0716" w:rsidRDefault="005B0716">
                    <w:pPr>
                      <w:pStyle w:val="Bibliography"/>
                      <w:rPr>
                        <w:noProof/>
                      </w:rPr>
                    </w:pPr>
                    <w:r>
                      <w:rPr>
                        <w:i/>
                        <w:iCs/>
                        <w:noProof/>
                      </w:rPr>
                      <w:t xml:space="preserve">Trusted Computer System Evaluation Criteria, </w:t>
                    </w:r>
                    <w:r>
                      <w:rPr>
                        <w:noProof/>
                      </w:rPr>
                      <w:t xml:space="preserve">1985. </w:t>
                    </w:r>
                  </w:p>
                </w:tc>
              </w:tr>
              <w:tr w:rsidR="005B0716" w14:paraId="07E7326A" w14:textId="77777777">
                <w:trPr>
                  <w:divId w:val="1240168458"/>
                  <w:tblCellSpacing w:w="15" w:type="dxa"/>
                </w:trPr>
                <w:tc>
                  <w:tcPr>
                    <w:tcW w:w="50" w:type="pct"/>
                    <w:hideMark/>
                  </w:tcPr>
                  <w:p w14:paraId="5462FD30" w14:textId="77777777" w:rsidR="005B0716" w:rsidRDefault="005B0716">
                    <w:pPr>
                      <w:pStyle w:val="Bibliography"/>
                      <w:rPr>
                        <w:noProof/>
                      </w:rPr>
                    </w:pPr>
                    <w:r>
                      <w:rPr>
                        <w:noProof/>
                      </w:rPr>
                      <w:t xml:space="preserve">[8] </w:t>
                    </w:r>
                  </w:p>
                </w:tc>
                <w:tc>
                  <w:tcPr>
                    <w:tcW w:w="0" w:type="auto"/>
                    <w:hideMark/>
                  </w:tcPr>
                  <w:p w14:paraId="74980AE7" w14:textId="77777777" w:rsidR="005B0716" w:rsidRDefault="005B0716">
                    <w:pPr>
                      <w:pStyle w:val="Bibliography"/>
                      <w:rPr>
                        <w:noProof/>
                      </w:rPr>
                    </w:pPr>
                    <w:r>
                      <w:rPr>
                        <w:noProof/>
                      </w:rPr>
                      <w:t xml:space="preserve">P. England, R. Aigner, A. Marochko, D. Mattoon, R. Spiger and S. Thom, </w:t>
                    </w:r>
                    <w:r>
                      <w:rPr>
                        <w:i/>
                        <w:iCs/>
                        <w:noProof/>
                      </w:rPr>
                      <w:t>Cyber Resilient Systems Software Architecture.</w:t>
                    </w:r>
                    <w:r>
                      <w:rPr>
                        <w:noProof/>
                      </w:rPr>
                      <w:t xml:space="preserve"> </w:t>
                    </w:r>
                  </w:p>
                </w:tc>
              </w:tr>
            </w:tbl>
            <w:p w14:paraId="4B85AE9A" w14:textId="77777777" w:rsidR="005B0716" w:rsidRDefault="005B0716">
              <w:pPr>
                <w:divId w:val="1240168458"/>
                <w:rPr>
                  <w:rFonts w:eastAsia="Times New Roman"/>
                  <w:noProof/>
                </w:rPr>
              </w:pPr>
            </w:p>
            <w:p w14:paraId="457AA4D0" w14:textId="3FC8EA2F" w:rsidR="003F0DFA" w:rsidRDefault="003F0DFA">
              <w:r>
                <w:rPr>
                  <w:b/>
                  <w:bCs/>
                  <w:noProof/>
                </w:rPr>
                <w:fldChar w:fldCharType="end"/>
              </w:r>
            </w:p>
          </w:sdtContent>
        </w:sdt>
      </w:sdtContent>
    </w:sdt>
    <w:p w14:paraId="6DF39E8C" w14:textId="77777777" w:rsidR="00B070B4" w:rsidRPr="00B070B4" w:rsidRDefault="00B070B4" w:rsidP="00B070B4"/>
    <w:sectPr w:rsidR="00B070B4" w:rsidRPr="00B070B4" w:rsidSect="00FE442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EDFE" w14:textId="77777777" w:rsidR="008954BB" w:rsidRDefault="008954BB" w:rsidP="00AC7689">
      <w:pPr>
        <w:spacing w:after="0" w:line="240" w:lineRule="auto"/>
      </w:pPr>
      <w:r>
        <w:separator/>
      </w:r>
    </w:p>
  </w:endnote>
  <w:endnote w:type="continuationSeparator" w:id="0">
    <w:p w14:paraId="7B069951" w14:textId="77777777" w:rsidR="008954BB" w:rsidRDefault="008954BB" w:rsidP="00AC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Std">
    <w:altName w:val="Courier"/>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59F4" w14:textId="77777777" w:rsidR="006C6E3D" w:rsidRDefault="006C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092F" w14:textId="77777777" w:rsidR="006C6E3D" w:rsidRDefault="006C6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2B5C" w14:textId="77777777" w:rsidR="006C6E3D" w:rsidRDefault="006C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D05D" w14:textId="77777777" w:rsidR="008954BB" w:rsidRDefault="008954BB" w:rsidP="00AC7689">
      <w:pPr>
        <w:spacing w:after="0" w:line="240" w:lineRule="auto"/>
      </w:pPr>
      <w:r>
        <w:separator/>
      </w:r>
    </w:p>
  </w:footnote>
  <w:footnote w:type="continuationSeparator" w:id="0">
    <w:p w14:paraId="3064EAF1" w14:textId="77777777" w:rsidR="008954BB" w:rsidRDefault="008954BB" w:rsidP="00AC7689">
      <w:pPr>
        <w:spacing w:after="0" w:line="240" w:lineRule="auto"/>
      </w:pPr>
      <w:r>
        <w:continuationSeparator/>
      </w:r>
    </w:p>
  </w:footnote>
  <w:footnote w:id="1">
    <w:p w14:paraId="74FF8AE1" w14:textId="77777777" w:rsidR="00F944C0" w:rsidRDefault="00F944C0" w:rsidP="00443892">
      <w:r>
        <w:rPr>
          <w:rStyle w:val="FootnoteReference"/>
        </w:rPr>
        <w:footnoteRef/>
      </w:r>
      <w:r>
        <w:t xml:space="preserve"> Vendors may add additional security and resiliency technologies to meet specialized requirements (for example, dedicated security or management processors.)</w:t>
      </w:r>
    </w:p>
    <w:p w14:paraId="0A7FDF0A" w14:textId="77777777" w:rsidR="00F944C0" w:rsidRDefault="00F944C0" w:rsidP="00443892">
      <w:pPr>
        <w:pStyle w:val="FootnoteText"/>
      </w:pPr>
    </w:p>
  </w:footnote>
  <w:footnote w:id="2">
    <w:p w14:paraId="69258ABF" w14:textId="30108123" w:rsidR="00F944C0" w:rsidRDefault="00F944C0">
      <w:pPr>
        <w:pStyle w:val="FootnoteText"/>
      </w:pPr>
      <w:r>
        <w:rPr>
          <w:rStyle w:val="FootnoteReference"/>
        </w:rPr>
        <w:footnoteRef/>
      </w:r>
      <w:r>
        <w:t xml:space="preserve"> Vendors are encouraged to structure the Trusted Computing Base to enforce safety restrictions on the applications that it hosts, but this is outside the scope of the CyReP hardware functions.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D74C" w14:textId="77777777" w:rsidR="006C6E3D" w:rsidRDefault="006C6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3C56" w14:textId="77777777" w:rsidR="006C6E3D" w:rsidRDefault="006C6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101A" w14:textId="77777777" w:rsidR="006C6E3D" w:rsidRDefault="006C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0359"/>
    <w:multiLevelType w:val="hybridMultilevel"/>
    <w:tmpl w:val="EC6C6A0E"/>
    <w:lvl w:ilvl="0" w:tplc="8B12D1B6">
      <w:start w:val="8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9052A"/>
    <w:multiLevelType w:val="hybridMultilevel"/>
    <w:tmpl w:val="7B82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A467C"/>
    <w:multiLevelType w:val="hybridMultilevel"/>
    <w:tmpl w:val="333A857E"/>
    <w:lvl w:ilvl="0" w:tplc="9E6619EC">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43F94"/>
    <w:multiLevelType w:val="hybridMultilevel"/>
    <w:tmpl w:val="1E8AFB80"/>
    <w:lvl w:ilvl="0" w:tplc="0DC6DF74">
      <w:start w:val="8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666B3"/>
    <w:multiLevelType w:val="hybridMultilevel"/>
    <w:tmpl w:val="A7B2FE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C09E8"/>
    <w:multiLevelType w:val="hybridMultilevel"/>
    <w:tmpl w:val="05E0D9EA"/>
    <w:lvl w:ilvl="0" w:tplc="5E461D4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6F"/>
    <w:rsid w:val="00000D15"/>
    <w:rsid w:val="00001233"/>
    <w:rsid w:val="00002050"/>
    <w:rsid w:val="00003368"/>
    <w:rsid w:val="000166F8"/>
    <w:rsid w:val="00017FAE"/>
    <w:rsid w:val="00021AB1"/>
    <w:rsid w:val="00032751"/>
    <w:rsid w:val="00032833"/>
    <w:rsid w:val="000347F4"/>
    <w:rsid w:val="00047F6D"/>
    <w:rsid w:val="000526DF"/>
    <w:rsid w:val="00055A8A"/>
    <w:rsid w:val="00055EB5"/>
    <w:rsid w:val="00070A6A"/>
    <w:rsid w:val="00071623"/>
    <w:rsid w:val="0007273E"/>
    <w:rsid w:val="000774E2"/>
    <w:rsid w:val="00082CA6"/>
    <w:rsid w:val="00085D23"/>
    <w:rsid w:val="00086318"/>
    <w:rsid w:val="000871F6"/>
    <w:rsid w:val="00087A1F"/>
    <w:rsid w:val="00092A84"/>
    <w:rsid w:val="000A1142"/>
    <w:rsid w:val="000A7F43"/>
    <w:rsid w:val="000B3CCD"/>
    <w:rsid w:val="000B61F0"/>
    <w:rsid w:val="000C5AEA"/>
    <w:rsid w:val="000C72F5"/>
    <w:rsid w:val="000D54D7"/>
    <w:rsid w:val="000D6D24"/>
    <w:rsid w:val="000E5FAC"/>
    <w:rsid w:val="000E6DD9"/>
    <w:rsid w:val="000F127C"/>
    <w:rsid w:val="000F26A3"/>
    <w:rsid w:val="000F752D"/>
    <w:rsid w:val="00100009"/>
    <w:rsid w:val="001108E0"/>
    <w:rsid w:val="001145AD"/>
    <w:rsid w:val="00125EA4"/>
    <w:rsid w:val="0012773E"/>
    <w:rsid w:val="00137CB0"/>
    <w:rsid w:val="00150E1F"/>
    <w:rsid w:val="001556E3"/>
    <w:rsid w:val="001565A1"/>
    <w:rsid w:val="001567A2"/>
    <w:rsid w:val="0016095B"/>
    <w:rsid w:val="00163B69"/>
    <w:rsid w:val="00166836"/>
    <w:rsid w:val="00174AA3"/>
    <w:rsid w:val="0017658F"/>
    <w:rsid w:val="00176B4E"/>
    <w:rsid w:val="0017770E"/>
    <w:rsid w:val="00181077"/>
    <w:rsid w:val="00192132"/>
    <w:rsid w:val="001A32B0"/>
    <w:rsid w:val="001A583E"/>
    <w:rsid w:val="001B22A7"/>
    <w:rsid w:val="001B7B5F"/>
    <w:rsid w:val="001C0031"/>
    <w:rsid w:val="001C0FCB"/>
    <w:rsid w:val="001C2728"/>
    <w:rsid w:val="001C2801"/>
    <w:rsid w:val="001C4E64"/>
    <w:rsid w:val="001C533C"/>
    <w:rsid w:val="001C689B"/>
    <w:rsid w:val="001C7C28"/>
    <w:rsid w:val="001D0C8B"/>
    <w:rsid w:val="001D180B"/>
    <w:rsid w:val="001D573D"/>
    <w:rsid w:val="001D6BF7"/>
    <w:rsid w:val="00200086"/>
    <w:rsid w:val="0020266A"/>
    <w:rsid w:val="002042A1"/>
    <w:rsid w:val="00204745"/>
    <w:rsid w:val="00206051"/>
    <w:rsid w:val="00216E2B"/>
    <w:rsid w:val="00223867"/>
    <w:rsid w:val="002278E1"/>
    <w:rsid w:val="002405EA"/>
    <w:rsid w:val="00245D13"/>
    <w:rsid w:val="0024629E"/>
    <w:rsid w:val="0024647B"/>
    <w:rsid w:val="00250113"/>
    <w:rsid w:val="00251F66"/>
    <w:rsid w:val="00255A83"/>
    <w:rsid w:val="0026602A"/>
    <w:rsid w:val="00277FDC"/>
    <w:rsid w:val="00280775"/>
    <w:rsid w:val="00282A64"/>
    <w:rsid w:val="00283291"/>
    <w:rsid w:val="00286593"/>
    <w:rsid w:val="00287348"/>
    <w:rsid w:val="0029087A"/>
    <w:rsid w:val="00296062"/>
    <w:rsid w:val="0029751C"/>
    <w:rsid w:val="002A07FF"/>
    <w:rsid w:val="002A249E"/>
    <w:rsid w:val="002A3E14"/>
    <w:rsid w:val="002A4FC1"/>
    <w:rsid w:val="002A7B27"/>
    <w:rsid w:val="002B2F01"/>
    <w:rsid w:val="002B5735"/>
    <w:rsid w:val="002C25EF"/>
    <w:rsid w:val="002D16BD"/>
    <w:rsid w:val="002D5538"/>
    <w:rsid w:val="002D7C77"/>
    <w:rsid w:val="002E5860"/>
    <w:rsid w:val="002E7617"/>
    <w:rsid w:val="002E766C"/>
    <w:rsid w:val="002F357C"/>
    <w:rsid w:val="00303E0E"/>
    <w:rsid w:val="0030499A"/>
    <w:rsid w:val="0031054D"/>
    <w:rsid w:val="00311A25"/>
    <w:rsid w:val="003157D3"/>
    <w:rsid w:val="00317ECB"/>
    <w:rsid w:val="0032545D"/>
    <w:rsid w:val="00326670"/>
    <w:rsid w:val="00331464"/>
    <w:rsid w:val="0033381B"/>
    <w:rsid w:val="003356A8"/>
    <w:rsid w:val="003374F6"/>
    <w:rsid w:val="003407C4"/>
    <w:rsid w:val="0035285C"/>
    <w:rsid w:val="00360BB4"/>
    <w:rsid w:val="00361C70"/>
    <w:rsid w:val="00362BBB"/>
    <w:rsid w:val="00366C2E"/>
    <w:rsid w:val="00370EDC"/>
    <w:rsid w:val="0037271C"/>
    <w:rsid w:val="0037396C"/>
    <w:rsid w:val="003840EA"/>
    <w:rsid w:val="003857DC"/>
    <w:rsid w:val="00390B62"/>
    <w:rsid w:val="003A17E1"/>
    <w:rsid w:val="003B0216"/>
    <w:rsid w:val="003B47C8"/>
    <w:rsid w:val="003B686E"/>
    <w:rsid w:val="003C28EF"/>
    <w:rsid w:val="003D47CD"/>
    <w:rsid w:val="003E5E1A"/>
    <w:rsid w:val="003F0DFA"/>
    <w:rsid w:val="003F70B7"/>
    <w:rsid w:val="0040198F"/>
    <w:rsid w:val="00401A9C"/>
    <w:rsid w:val="00406AEC"/>
    <w:rsid w:val="00410C84"/>
    <w:rsid w:val="00411179"/>
    <w:rsid w:val="00412640"/>
    <w:rsid w:val="00412BE8"/>
    <w:rsid w:val="00432BB2"/>
    <w:rsid w:val="00435E70"/>
    <w:rsid w:val="004435AD"/>
    <w:rsid w:val="00443892"/>
    <w:rsid w:val="0045246A"/>
    <w:rsid w:val="004559FC"/>
    <w:rsid w:val="0046122A"/>
    <w:rsid w:val="00461F07"/>
    <w:rsid w:val="004621AA"/>
    <w:rsid w:val="004655A5"/>
    <w:rsid w:val="004733AD"/>
    <w:rsid w:val="00474BA1"/>
    <w:rsid w:val="00475264"/>
    <w:rsid w:val="00477484"/>
    <w:rsid w:val="00477C17"/>
    <w:rsid w:val="00480DF6"/>
    <w:rsid w:val="00485842"/>
    <w:rsid w:val="00486800"/>
    <w:rsid w:val="00487352"/>
    <w:rsid w:val="004936C5"/>
    <w:rsid w:val="004947C5"/>
    <w:rsid w:val="00497647"/>
    <w:rsid w:val="004B6891"/>
    <w:rsid w:val="004B69A5"/>
    <w:rsid w:val="004C0431"/>
    <w:rsid w:val="004C4D8C"/>
    <w:rsid w:val="004C6CFC"/>
    <w:rsid w:val="004C7A53"/>
    <w:rsid w:val="004D3C62"/>
    <w:rsid w:val="004D5A0E"/>
    <w:rsid w:val="004D5C9B"/>
    <w:rsid w:val="004D5F78"/>
    <w:rsid w:val="004E36B0"/>
    <w:rsid w:val="004E3712"/>
    <w:rsid w:val="004F3D18"/>
    <w:rsid w:val="00502E18"/>
    <w:rsid w:val="00502FD6"/>
    <w:rsid w:val="00504A07"/>
    <w:rsid w:val="00504F14"/>
    <w:rsid w:val="00505AEB"/>
    <w:rsid w:val="00507510"/>
    <w:rsid w:val="0050771B"/>
    <w:rsid w:val="00512364"/>
    <w:rsid w:val="00512533"/>
    <w:rsid w:val="0051398C"/>
    <w:rsid w:val="00515AF9"/>
    <w:rsid w:val="005161B6"/>
    <w:rsid w:val="00516754"/>
    <w:rsid w:val="005232D0"/>
    <w:rsid w:val="00523979"/>
    <w:rsid w:val="00525225"/>
    <w:rsid w:val="0052605D"/>
    <w:rsid w:val="00534611"/>
    <w:rsid w:val="0053752F"/>
    <w:rsid w:val="005419DF"/>
    <w:rsid w:val="00542E30"/>
    <w:rsid w:val="005446B8"/>
    <w:rsid w:val="00544AB8"/>
    <w:rsid w:val="00547719"/>
    <w:rsid w:val="0055003B"/>
    <w:rsid w:val="0056299E"/>
    <w:rsid w:val="00564C52"/>
    <w:rsid w:val="00567B7F"/>
    <w:rsid w:val="005721D2"/>
    <w:rsid w:val="00574E55"/>
    <w:rsid w:val="0058123F"/>
    <w:rsid w:val="00583257"/>
    <w:rsid w:val="005846BD"/>
    <w:rsid w:val="0058580B"/>
    <w:rsid w:val="00596060"/>
    <w:rsid w:val="005A28AD"/>
    <w:rsid w:val="005A341C"/>
    <w:rsid w:val="005A4155"/>
    <w:rsid w:val="005B0716"/>
    <w:rsid w:val="005C09AF"/>
    <w:rsid w:val="005C493A"/>
    <w:rsid w:val="005C4B5B"/>
    <w:rsid w:val="005C5603"/>
    <w:rsid w:val="005C6365"/>
    <w:rsid w:val="005D2126"/>
    <w:rsid w:val="005E0366"/>
    <w:rsid w:val="005E6655"/>
    <w:rsid w:val="006016AC"/>
    <w:rsid w:val="006066C0"/>
    <w:rsid w:val="006145A7"/>
    <w:rsid w:val="00626FBE"/>
    <w:rsid w:val="00631946"/>
    <w:rsid w:val="00633549"/>
    <w:rsid w:val="00633C50"/>
    <w:rsid w:val="00633F54"/>
    <w:rsid w:val="00635354"/>
    <w:rsid w:val="0063573C"/>
    <w:rsid w:val="00635B4F"/>
    <w:rsid w:val="006372D5"/>
    <w:rsid w:val="00637368"/>
    <w:rsid w:val="006375AC"/>
    <w:rsid w:val="006417DB"/>
    <w:rsid w:val="006435BE"/>
    <w:rsid w:val="00655F5A"/>
    <w:rsid w:val="00657D77"/>
    <w:rsid w:val="006635ED"/>
    <w:rsid w:val="00667091"/>
    <w:rsid w:val="00667258"/>
    <w:rsid w:val="00674BE1"/>
    <w:rsid w:val="00685C1F"/>
    <w:rsid w:val="00687107"/>
    <w:rsid w:val="00690025"/>
    <w:rsid w:val="00694516"/>
    <w:rsid w:val="0069591E"/>
    <w:rsid w:val="006A14A3"/>
    <w:rsid w:val="006A527B"/>
    <w:rsid w:val="006B7336"/>
    <w:rsid w:val="006C238B"/>
    <w:rsid w:val="006C6E3D"/>
    <w:rsid w:val="006D1CB3"/>
    <w:rsid w:val="006D2F18"/>
    <w:rsid w:val="006D36D9"/>
    <w:rsid w:val="006D3BB6"/>
    <w:rsid w:val="006D63D9"/>
    <w:rsid w:val="006E0467"/>
    <w:rsid w:val="006E2400"/>
    <w:rsid w:val="006E2880"/>
    <w:rsid w:val="006E41A7"/>
    <w:rsid w:val="006E55F1"/>
    <w:rsid w:val="006F3029"/>
    <w:rsid w:val="00701BB1"/>
    <w:rsid w:val="007052B4"/>
    <w:rsid w:val="00705B7B"/>
    <w:rsid w:val="00707088"/>
    <w:rsid w:val="0071610E"/>
    <w:rsid w:val="00717284"/>
    <w:rsid w:val="00732C85"/>
    <w:rsid w:val="00735912"/>
    <w:rsid w:val="00735924"/>
    <w:rsid w:val="00742F9F"/>
    <w:rsid w:val="00752DFD"/>
    <w:rsid w:val="00756E5B"/>
    <w:rsid w:val="0076106D"/>
    <w:rsid w:val="00762E59"/>
    <w:rsid w:val="00763F6F"/>
    <w:rsid w:val="007666D1"/>
    <w:rsid w:val="00767E6A"/>
    <w:rsid w:val="0077350D"/>
    <w:rsid w:val="007761A3"/>
    <w:rsid w:val="00780C09"/>
    <w:rsid w:val="00780F49"/>
    <w:rsid w:val="00785CE0"/>
    <w:rsid w:val="00790D7E"/>
    <w:rsid w:val="00790EBD"/>
    <w:rsid w:val="007968F0"/>
    <w:rsid w:val="007976D8"/>
    <w:rsid w:val="007A5CE0"/>
    <w:rsid w:val="007B5DB8"/>
    <w:rsid w:val="007B72F9"/>
    <w:rsid w:val="007B7EF4"/>
    <w:rsid w:val="007E1C6E"/>
    <w:rsid w:val="007E3DBC"/>
    <w:rsid w:val="007E793E"/>
    <w:rsid w:val="007F5704"/>
    <w:rsid w:val="008007B6"/>
    <w:rsid w:val="00806050"/>
    <w:rsid w:val="00813808"/>
    <w:rsid w:val="00815BD9"/>
    <w:rsid w:val="008171BE"/>
    <w:rsid w:val="00821FE2"/>
    <w:rsid w:val="0082399B"/>
    <w:rsid w:val="00825CBA"/>
    <w:rsid w:val="008261E1"/>
    <w:rsid w:val="00830131"/>
    <w:rsid w:val="00831E1C"/>
    <w:rsid w:val="00832ADE"/>
    <w:rsid w:val="008342B4"/>
    <w:rsid w:val="008456DD"/>
    <w:rsid w:val="00846805"/>
    <w:rsid w:val="00850F0C"/>
    <w:rsid w:val="00875215"/>
    <w:rsid w:val="00875610"/>
    <w:rsid w:val="0087764C"/>
    <w:rsid w:val="00881EB7"/>
    <w:rsid w:val="00886227"/>
    <w:rsid w:val="008954BB"/>
    <w:rsid w:val="008961FE"/>
    <w:rsid w:val="00897B01"/>
    <w:rsid w:val="008A240C"/>
    <w:rsid w:val="008A4596"/>
    <w:rsid w:val="008B5E9E"/>
    <w:rsid w:val="008B746F"/>
    <w:rsid w:val="008D7F7B"/>
    <w:rsid w:val="008E3127"/>
    <w:rsid w:val="008E5F9C"/>
    <w:rsid w:val="008F49C2"/>
    <w:rsid w:val="008F6FC2"/>
    <w:rsid w:val="00900449"/>
    <w:rsid w:val="009038DC"/>
    <w:rsid w:val="009055B1"/>
    <w:rsid w:val="009100A3"/>
    <w:rsid w:val="00915ACE"/>
    <w:rsid w:val="00924505"/>
    <w:rsid w:val="0092539C"/>
    <w:rsid w:val="00926D0F"/>
    <w:rsid w:val="00932FE8"/>
    <w:rsid w:val="00934153"/>
    <w:rsid w:val="00935A5B"/>
    <w:rsid w:val="00944294"/>
    <w:rsid w:val="009469F5"/>
    <w:rsid w:val="009502BC"/>
    <w:rsid w:val="00957F1A"/>
    <w:rsid w:val="00964433"/>
    <w:rsid w:val="00967D96"/>
    <w:rsid w:val="009716E5"/>
    <w:rsid w:val="00974256"/>
    <w:rsid w:val="00975691"/>
    <w:rsid w:val="009867F0"/>
    <w:rsid w:val="00987C8C"/>
    <w:rsid w:val="009A44EE"/>
    <w:rsid w:val="009B212D"/>
    <w:rsid w:val="009B3442"/>
    <w:rsid w:val="009B7EB6"/>
    <w:rsid w:val="009C15AC"/>
    <w:rsid w:val="009D02CF"/>
    <w:rsid w:val="009D11F2"/>
    <w:rsid w:val="009D50D7"/>
    <w:rsid w:val="009D5A6F"/>
    <w:rsid w:val="009D6FB7"/>
    <w:rsid w:val="009E1BF6"/>
    <w:rsid w:val="009F4802"/>
    <w:rsid w:val="009F5133"/>
    <w:rsid w:val="00A13BEE"/>
    <w:rsid w:val="00A15FF5"/>
    <w:rsid w:val="00A1687E"/>
    <w:rsid w:val="00A17155"/>
    <w:rsid w:val="00A22134"/>
    <w:rsid w:val="00A25F1A"/>
    <w:rsid w:val="00A268E8"/>
    <w:rsid w:val="00A32E00"/>
    <w:rsid w:val="00A36549"/>
    <w:rsid w:val="00A44607"/>
    <w:rsid w:val="00A501DB"/>
    <w:rsid w:val="00A521ED"/>
    <w:rsid w:val="00A5375A"/>
    <w:rsid w:val="00A551EA"/>
    <w:rsid w:val="00A66A0B"/>
    <w:rsid w:val="00A711D6"/>
    <w:rsid w:val="00A750F3"/>
    <w:rsid w:val="00A77AF0"/>
    <w:rsid w:val="00A827C4"/>
    <w:rsid w:val="00A90705"/>
    <w:rsid w:val="00A92F3B"/>
    <w:rsid w:val="00A9468B"/>
    <w:rsid w:val="00A95B5E"/>
    <w:rsid w:val="00AA272E"/>
    <w:rsid w:val="00AA29C7"/>
    <w:rsid w:val="00AA2A51"/>
    <w:rsid w:val="00AA3605"/>
    <w:rsid w:val="00AA5DEA"/>
    <w:rsid w:val="00AB1D29"/>
    <w:rsid w:val="00AB79F1"/>
    <w:rsid w:val="00AC1F1F"/>
    <w:rsid w:val="00AC3FB2"/>
    <w:rsid w:val="00AC7689"/>
    <w:rsid w:val="00AD2120"/>
    <w:rsid w:val="00AD57C5"/>
    <w:rsid w:val="00AF14CC"/>
    <w:rsid w:val="00AF3C5A"/>
    <w:rsid w:val="00B01213"/>
    <w:rsid w:val="00B02C4C"/>
    <w:rsid w:val="00B070B4"/>
    <w:rsid w:val="00B10DDB"/>
    <w:rsid w:val="00B21068"/>
    <w:rsid w:val="00B35612"/>
    <w:rsid w:val="00B3613E"/>
    <w:rsid w:val="00B36790"/>
    <w:rsid w:val="00B37D7B"/>
    <w:rsid w:val="00B4334C"/>
    <w:rsid w:val="00B57A29"/>
    <w:rsid w:val="00B57F62"/>
    <w:rsid w:val="00B6599B"/>
    <w:rsid w:val="00B75EC9"/>
    <w:rsid w:val="00B81B88"/>
    <w:rsid w:val="00B83E11"/>
    <w:rsid w:val="00B8730B"/>
    <w:rsid w:val="00BA16CD"/>
    <w:rsid w:val="00BA2AE0"/>
    <w:rsid w:val="00BB1586"/>
    <w:rsid w:val="00BB2A17"/>
    <w:rsid w:val="00BB387D"/>
    <w:rsid w:val="00BB50F6"/>
    <w:rsid w:val="00BB7497"/>
    <w:rsid w:val="00BC3090"/>
    <w:rsid w:val="00BC3C96"/>
    <w:rsid w:val="00BC715E"/>
    <w:rsid w:val="00BC75DF"/>
    <w:rsid w:val="00BE2703"/>
    <w:rsid w:val="00BE2AC7"/>
    <w:rsid w:val="00BE40F5"/>
    <w:rsid w:val="00BE4499"/>
    <w:rsid w:val="00BE7708"/>
    <w:rsid w:val="00BF13B2"/>
    <w:rsid w:val="00BF173E"/>
    <w:rsid w:val="00C00C09"/>
    <w:rsid w:val="00C11C15"/>
    <w:rsid w:val="00C12C0F"/>
    <w:rsid w:val="00C13D28"/>
    <w:rsid w:val="00C200E8"/>
    <w:rsid w:val="00C22EDD"/>
    <w:rsid w:val="00C2672C"/>
    <w:rsid w:val="00C26D42"/>
    <w:rsid w:val="00C26F36"/>
    <w:rsid w:val="00C302F9"/>
    <w:rsid w:val="00C3430D"/>
    <w:rsid w:val="00C34316"/>
    <w:rsid w:val="00C37BCE"/>
    <w:rsid w:val="00C42237"/>
    <w:rsid w:val="00C4277A"/>
    <w:rsid w:val="00C44F65"/>
    <w:rsid w:val="00C5138C"/>
    <w:rsid w:val="00C61FDC"/>
    <w:rsid w:val="00C62D36"/>
    <w:rsid w:val="00C765F6"/>
    <w:rsid w:val="00C81E6F"/>
    <w:rsid w:val="00C838A5"/>
    <w:rsid w:val="00C873FE"/>
    <w:rsid w:val="00C9319E"/>
    <w:rsid w:val="00C97FBF"/>
    <w:rsid w:val="00CA1FA0"/>
    <w:rsid w:val="00CA468A"/>
    <w:rsid w:val="00CA5654"/>
    <w:rsid w:val="00CA61A4"/>
    <w:rsid w:val="00CB688E"/>
    <w:rsid w:val="00CE5045"/>
    <w:rsid w:val="00CF10E1"/>
    <w:rsid w:val="00CF7815"/>
    <w:rsid w:val="00D05B8F"/>
    <w:rsid w:val="00D06A09"/>
    <w:rsid w:val="00D1193E"/>
    <w:rsid w:val="00D15FE7"/>
    <w:rsid w:val="00D228EE"/>
    <w:rsid w:val="00D307B6"/>
    <w:rsid w:val="00D34C0C"/>
    <w:rsid w:val="00D359B9"/>
    <w:rsid w:val="00D400AB"/>
    <w:rsid w:val="00D40419"/>
    <w:rsid w:val="00D40D9A"/>
    <w:rsid w:val="00D451B6"/>
    <w:rsid w:val="00D47079"/>
    <w:rsid w:val="00D539F4"/>
    <w:rsid w:val="00D75C94"/>
    <w:rsid w:val="00D76289"/>
    <w:rsid w:val="00D81639"/>
    <w:rsid w:val="00D83CEC"/>
    <w:rsid w:val="00D8420B"/>
    <w:rsid w:val="00D868BB"/>
    <w:rsid w:val="00D901FB"/>
    <w:rsid w:val="00D93E7E"/>
    <w:rsid w:val="00D95F41"/>
    <w:rsid w:val="00D97B26"/>
    <w:rsid w:val="00DA32D7"/>
    <w:rsid w:val="00DA425F"/>
    <w:rsid w:val="00DA4EDE"/>
    <w:rsid w:val="00DB3EB4"/>
    <w:rsid w:val="00DB4651"/>
    <w:rsid w:val="00DB6B6D"/>
    <w:rsid w:val="00DB75E7"/>
    <w:rsid w:val="00DC20AE"/>
    <w:rsid w:val="00DC6ED5"/>
    <w:rsid w:val="00DD6651"/>
    <w:rsid w:val="00DE0337"/>
    <w:rsid w:val="00DE5956"/>
    <w:rsid w:val="00DE6EF5"/>
    <w:rsid w:val="00DF33DC"/>
    <w:rsid w:val="00DF385E"/>
    <w:rsid w:val="00E02C4F"/>
    <w:rsid w:val="00E035EA"/>
    <w:rsid w:val="00E05348"/>
    <w:rsid w:val="00E167B1"/>
    <w:rsid w:val="00E30DF3"/>
    <w:rsid w:val="00E31814"/>
    <w:rsid w:val="00E32934"/>
    <w:rsid w:val="00E4002A"/>
    <w:rsid w:val="00E45DBA"/>
    <w:rsid w:val="00E53809"/>
    <w:rsid w:val="00E60718"/>
    <w:rsid w:val="00E61B16"/>
    <w:rsid w:val="00E67C22"/>
    <w:rsid w:val="00E703F2"/>
    <w:rsid w:val="00E75098"/>
    <w:rsid w:val="00E7757C"/>
    <w:rsid w:val="00E8231D"/>
    <w:rsid w:val="00E9231F"/>
    <w:rsid w:val="00E95A78"/>
    <w:rsid w:val="00EA0E73"/>
    <w:rsid w:val="00EA3908"/>
    <w:rsid w:val="00EB1E5A"/>
    <w:rsid w:val="00EB6AB0"/>
    <w:rsid w:val="00EB73B4"/>
    <w:rsid w:val="00EC26AB"/>
    <w:rsid w:val="00EC5E50"/>
    <w:rsid w:val="00EC79F7"/>
    <w:rsid w:val="00ED1507"/>
    <w:rsid w:val="00ED2115"/>
    <w:rsid w:val="00ED3315"/>
    <w:rsid w:val="00ED3BF2"/>
    <w:rsid w:val="00EE0D2D"/>
    <w:rsid w:val="00EE1231"/>
    <w:rsid w:val="00EE24C1"/>
    <w:rsid w:val="00EE36D4"/>
    <w:rsid w:val="00EE51B9"/>
    <w:rsid w:val="00EF1046"/>
    <w:rsid w:val="00EF1307"/>
    <w:rsid w:val="00EF5E8F"/>
    <w:rsid w:val="00EF6084"/>
    <w:rsid w:val="00EF7121"/>
    <w:rsid w:val="00EF7922"/>
    <w:rsid w:val="00EF7AC5"/>
    <w:rsid w:val="00F05D0F"/>
    <w:rsid w:val="00F06B42"/>
    <w:rsid w:val="00F25121"/>
    <w:rsid w:val="00F258CC"/>
    <w:rsid w:val="00F321E3"/>
    <w:rsid w:val="00F33614"/>
    <w:rsid w:val="00F3721F"/>
    <w:rsid w:val="00F37839"/>
    <w:rsid w:val="00F41F08"/>
    <w:rsid w:val="00F4202B"/>
    <w:rsid w:val="00F47E6C"/>
    <w:rsid w:val="00F54825"/>
    <w:rsid w:val="00F55D8E"/>
    <w:rsid w:val="00F62919"/>
    <w:rsid w:val="00F74C29"/>
    <w:rsid w:val="00F8353F"/>
    <w:rsid w:val="00F84E14"/>
    <w:rsid w:val="00F86028"/>
    <w:rsid w:val="00F87C19"/>
    <w:rsid w:val="00F911DC"/>
    <w:rsid w:val="00F93897"/>
    <w:rsid w:val="00F93B94"/>
    <w:rsid w:val="00F944C0"/>
    <w:rsid w:val="00F94F99"/>
    <w:rsid w:val="00F95B6E"/>
    <w:rsid w:val="00FA761F"/>
    <w:rsid w:val="00FC014B"/>
    <w:rsid w:val="00FC1D9C"/>
    <w:rsid w:val="00FC3B7F"/>
    <w:rsid w:val="00FC6852"/>
    <w:rsid w:val="00FD24A5"/>
    <w:rsid w:val="00FD3F4A"/>
    <w:rsid w:val="00FE024D"/>
    <w:rsid w:val="00FE12F1"/>
    <w:rsid w:val="00FE4429"/>
    <w:rsid w:val="00FE4FD3"/>
    <w:rsid w:val="00FF0C40"/>
    <w:rsid w:val="00FF2D3B"/>
    <w:rsid w:val="00FF5CD6"/>
    <w:rsid w:val="0BC4746F"/>
    <w:rsid w:val="1289993D"/>
    <w:rsid w:val="1C4778D1"/>
    <w:rsid w:val="23A9382D"/>
    <w:rsid w:val="2C810E68"/>
    <w:rsid w:val="583A51CF"/>
    <w:rsid w:val="587C3D3B"/>
    <w:rsid w:val="72860B1A"/>
    <w:rsid w:val="79DAA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CE56F"/>
  <w15:chartTrackingRefBased/>
  <w15:docId w15:val="{1BE38AF6-1207-4E01-93B7-90892333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46F"/>
    <w:pPr>
      <w:ind w:left="720"/>
      <w:contextualSpacing/>
    </w:pPr>
  </w:style>
  <w:style w:type="paragraph" w:styleId="Header">
    <w:name w:val="header"/>
    <w:basedOn w:val="Normal"/>
    <w:link w:val="HeaderChar"/>
    <w:uiPriority w:val="99"/>
    <w:unhideWhenUsed/>
    <w:rsid w:val="00AC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689"/>
  </w:style>
  <w:style w:type="paragraph" w:styleId="Footer">
    <w:name w:val="footer"/>
    <w:basedOn w:val="Normal"/>
    <w:link w:val="FooterChar"/>
    <w:uiPriority w:val="99"/>
    <w:unhideWhenUsed/>
    <w:rsid w:val="00AC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689"/>
  </w:style>
  <w:style w:type="character" w:customStyle="1" w:styleId="Heading1Char">
    <w:name w:val="Heading 1 Char"/>
    <w:basedOn w:val="DefaultParagraphFont"/>
    <w:link w:val="Heading1"/>
    <w:uiPriority w:val="9"/>
    <w:rsid w:val="005721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389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443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892"/>
    <w:rPr>
      <w:sz w:val="20"/>
      <w:szCs w:val="20"/>
    </w:rPr>
  </w:style>
  <w:style w:type="character" w:styleId="FootnoteReference">
    <w:name w:val="footnote reference"/>
    <w:basedOn w:val="DefaultParagraphFont"/>
    <w:uiPriority w:val="99"/>
    <w:semiHidden/>
    <w:unhideWhenUsed/>
    <w:rsid w:val="00443892"/>
    <w:rPr>
      <w:vertAlign w:val="superscript"/>
    </w:rPr>
  </w:style>
  <w:style w:type="paragraph" w:styleId="Caption">
    <w:name w:val="caption"/>
    <w:basedOn w:val="Normal"/>
    <w:next w:val="Normal"/>
    <w:uiPriority w:val="35"/>
    <w:unhideWhenUsed/>
    <w:qFormat/>
    <w:rsid w:val="001A32B0"/>
    <w:pPr>
      <w:spacing w:after="200" w:line="240" w:lineRule="auto"/>
      <w:ind w:left="288" w:right="288"/>
      <w:jc w:val="both"/>
    </w:pPr>
    <w:rPr>
      <w:i/>
      <w:iCs/>
      <w:color w:val="44546A" w:themeColor="text2"/>
      <w:sz w:val="18"/>
      <w:szCs w:val="18"/>
    </w:rPr>
  </w:style>
  <w:style w:type="character" w:styleId="CommentReference">
    <w:name w:val="annotation reference"/>
    <w:basedOn w:val="DefaultParagraphFont"/>
    <w:uiPriority w:val="99"/>
    <w:semiHidden/>
    <w:unhideWhenUsed/>
    <w:rsid w:val="00A36549"/>
    <w:rPr>
      <w:sz w:val="16"/>
      <w:szCs w:val="16"/>
    </w:rPr>
  </w:style>
  <w:style w:type="paragraph" w:styleId="CommentText">
    <w:name w:val="annotation text"/>
    <w:basedOn w:val="Normal"/>
    <w:link w:val="CommentTextChar"/>
    <w:uiPriority w:val="99"/>
    <w:semiHidden/>
    <w:unhideWhenUsed/>
    <w:rsid w:val="00A36549"/>
    <w:pPr>
      <w:spacing w:line="240" w:lineRule="auto"/>
    </w:pPr>
    <w:rPr>
      <w:sz w:val="20"/>
      <w:szCs w:val="20"/>
    </w:rPr>
  </w:style>
  <w:style w:type="character" w:customStyle="1" w:styleId="CommentTextChar">
    <w:name w:val="Comment Text Char"/>
    <w:basedOn w:val="DefaultParagraphFont"/>
    <w:link w:val="CommentText"/>
    <w:uiPriority w:val="99"/>
    <w:semiHidden/>
    <w:rsid w:val="00A36549"/>
    <w:rPr>
      <w:sz w:val="20"/>
      <w:szCs w:val="20"/>
    </w:rPr>
  </w:style>
  <w:style w:type="paragraph" w:styleId="CommentSubject">
    <w:name w:val="annotation subject"/>
    <w:basedOn w:val="CommentText"/>
    <w:next w:val="CommentText"/>
    <w:link w:val="CommentSubjectChar"/>
    <w:uiPriority w:val="99"/>
    <w:semiHidden/>
    <w:unhideWhenUsed/>
    <w:rsid w:val="00A36549"/>
    <w:rPr>
      <w:b/>
      <w:bCs/>
    </w:rPr>
  </w:style>
  <w:style w:type="character" w:customStyle="1" w:styleId="CommentSubjectChar">
    <w:name w:val="Comment Subject Char"/>
    <w:basedOn w:val="CommentTextChar"/>
    <w:link w:val="CommentSubject"/>
    <w:uiPriority w:val="99"/>
    <w:semiHidden/>
    <w:rsid w:val="00A36549"/>
    <w:rPr>
      <w:b/>
      <w:bCs/>
      <w:sz w:val="20"/>
      <w:szCs w:val="20"/>
    </w:rPr>
  </w:style>
  <w:style w:type="paragraph" w:styleId="BalloonText">
    <w:name w:val="Balloon Text"/>
    <w:basedOn w:val="Normal"/>
    <w:link w:val="BalloonTextChar"/>
    <w:uiPriority w:val="99"/>
    <w:semiHidden/>
    <w:unhideWhenUsed/>
    <w:rsid w:val="00A3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549"/>
    <w:rPr>
      <w:rFonts w:ascii="Segoe UI" w:hAnsi="Segoe UI" w:cs="Segoe UI"/>
      <w:sz w:val="18"/>
      <w:szCs w:val="18"/>
    </w:rPr>
  </w:style>
  <w:style w:type="character" w:styleId="Hyperlink">
    <w:name w:val="Hyperlink"/>
    <w:basedOn w:val="DefaultParagraphFont"/>
    <w:uiPriority w:val="99"/>
    <w:unhideWhenUsed/>
    <w:rsid w:val="00D97B26"/>
    <w:rPr>
      <w:color w:val="0563C1" w:themeColor="hyperlink"/>
      <w:u w:val="single"/>
    </w:rPr>
  </w:style>
  <w:style w:type="character" w:styleId="UnresolvedMention">
    <w:name w:val="Unresolved Mention"/>
    <w:basedOn w:val="DefaultParagraphFont"/>
    <w:uiPriority w:val="99"/>
    <w:semiHidden/>
    <w:unhideWhenUsed/>
    <w:rsid w:val="00D97B26"/>
    <w:rPr>
      <w:color w:val="808080"/>
      <w:shd w:val="clear" w:color="auto" w:fill="E6E6E6"/>
    </w:rPr>
  </w:style>
  <w:style w:type="character" w:styleId="FollowedHyperlink">
    <w:name w:val="FollowedHyperlink"/>
    <w:basedOn w:val="DefaultParagraphFont"/>
    <w:uiPriority w:val="99"/>
    <w:semiHidden/>
    <w:unhideWhenUsed/>
    <w:rsid w:val="00F86028"/>
    <w:rPr>
      <w:color w:val="954F72" w:themeColor="followedHyperlink"/>
      <w:u w:val="single"/>
    </w:rPr>
  </w:style>
  <w:style w:type="paragraph" w:styleId="Bibliography">
    <w:name w:val="Bibliography"/>
    <w:basedOn w:val="Normal"/>
    <w:next w:val="Normal"/>
    <w:uiPriority w:val="37"/>
    <w:unhideWhenUsed/>
    <w:rsid w:val="003F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4170">
      <w:bodyDiv w:val="1"/>
      <w:marLeft w:val="0"/>
      <w:marRight w:val="0"/>
      <w:marTop w:val="0"/>
      <w:marBottom w:val="0"/>
      <w:divBdr>
        <w:top w:val="none" w:sz="0" w:space="0" w:color="auto"/>
        <w:left w:val="none" w:sz="0" w:space="0" w:color="auto"/>
        <w:bottom w:val="none" w:sz="0" w:space="0" w:color="auto"/>
        <w:right w:val="none" w:sz="0" w:space="0" w:color="auto"/>
      </w:divBdr>
    </w:div>
    <w:div w:id="164126171">
      <w:bodyDiv w:val="1"/>
      <w:marLeft w:val="0"/>
      <w:marRight w:val="0"/>
      <w:marTop w:val="0"/>
      <w:marBottom w:val="0"/>
      <w:divBdr>
        <w:top w:val="none" w:sz="0" w:space="0" w:color="auto"/>
        <w:left w:val="none" w:sz="0" w:space="0" w:color="auto"/>
        <w:bottom w:val="none" w:sz="0" w:space="0" w:color="auto"/>
        <w:right w:val="none" w:sz="0" w:space="0" w:color="auto"/>
      </w:divBdr>
    </w:div>
    <w:div w:id="169300733">
      <w:bodyDiv w:val="1"/>
      <w:marLeft w:val="0"/>
      <w:marRight w:val="0"/>
      <w:marTop w:val="0"/>
      <w:marBottom w:val="0"/>
      <w:divBdr>
        <w:top w:val="none" w:sz="0" w:space="0" w:color="auto"/>
        <w:left w:val="none" w:sz="0" w:space="0" w:color="auto"/>
        <w:bottom w:val="none" w:sz="0" w:space="0" w:color="auto"/>
        <w:right w:val="none" w:sz="0" w:space="0" w:color="auto"/>
      </w:divBdr>
    </w:div>
    <w:div w:id="270286135">
      <w:bodyDiv w:val="1"/>
      <w:marLeft w:val="0"/>
      <w:marRight w:val="0"/>
      <w:marTop w:val="0"/>
      <w:marBottom w:val="0"/>
      <w:divBdr>
        <w:top w:val="none" w:sz="0" w:space="0" w:color="auto"/>
        <w:left w:val="none" w:sz="0" w:space="0" w:color="auto"/>
        <w:bottom w:val="none" w:sz="0" w:space="0" w:color="auto"/>
        <w:right w:val="none" w:sz="0" w:space="0" w:color="auto"/>
      </w:divBdr>
    </w:div>
    <w:div w:id="373312235">
      <w:bodyDiv w:val="1"/>
      <w:marLeft w:val="0"/>
      <w:marRight w:val="0"/>
      <w:marTop w:val="0"/>
      <w:marBottom w:val="0"/>
      <w:divBdr>
        <w:top w:val="none" w:sz="0" w:space="0" w:color="auto"/>
        <w:left w:val="none" w:sz="0" w:space="0" w:color="auto"/>
        <w:bottom w:val="none" w:sz="0" w:space="0" w:color="auto"/>
        <w:right w:val="none" w:sz="0" w:space="0" w:color="auto"/>
      </w:divBdr>
    </w:div>
    <w:div w:id="421999886">
      <w:bodyDiv w:val="1"/>
      <w:marLeft w:val="0"/>
      <w:marRight w:val="0"/>
      <w:marTop w:val="0"/>
      <w:marBottom w:val="0"/>
      <w:divBdr>
        <w:top w:val="none" w:sz="0" w:space="0" w:color="auto"/>
        <w:left w:val="none" w:sz="0" w:space="0" w:color="auto"/>
        <w:bottom w:val="none" w:sz="0" w:space="0" w:color="auto"/>
        <w:right w:val="none" w:sz="0" w:space="0" w:color="auto"/>
      </w:divBdr>
    </w:div>
    <w:div w:id="460004732">
      <w:bodyDiv w:val="1"/>
      <w:marLeft w:val="0"/>
      <w:marRight w:val="0"/>
      <w:marTop w:val="0"/>
      <w:marBottom w:val="0"/>
      <w:divBdr>
        <w:top w:val="none" w:sz="0" w:space="0" w:color="auto"/>
        <w:left w:val="none" w:sz="0" w:space="0" w:color="auto"/>
        <w:bottom w:val="none" w:sz="0" w:space="0" w:color="auto"/>
        <w:right w:val="none" w:sz="0" w:space="0" w:color="auto"/>
      </w:divBdr>
    </w:div>
    <w:div w:id="491723424">
      <w:bodyDiv w:val="1"/>
      <w:marLeft w:val="0"/>
      <w:marRight w:val="0"/>
      <w:marTop w:val="0"/>
      <w:marBottom w:val="0"/>
      <w:divBdr>
        <w:top w:val="none" w:sz="0" w:space="0" w:color="auto"/>
        <w:left w:val="none" w:sz="0" w:space="0" w:color="auto"/>
        <w:bottom w:val="none" w:sz="0" w:space="0" w:color="auto"/>
        <w:right w:val="none" w:sz="0" w:space="0" w:color="auto"/>
      </w:divBdr>
    </w:div>
    <w:div w:id="736129569">
      <w:bodyDiv w:val="1"/>
      <w:marLeft w:val="0"/>
      <w:marRight w:val="0"/>
      <w:marTop w:val="0"/>
      <w:marBottom w:val="0"/>
      <w:divBdr>
        <w:top w:val="none" w:sz="0" w:space="0" w:color="auto"/>
        <w:left w:val="none" w:sz="0" w:space="0" w:color="auto"/>
        <w:bottom w:val="none" w:sz="0" w:space="0" w:color="auto"/>
        <w:right w:val="none" w:sz="0" w:space="0" w:color="auto"/>
      </w:divBdr>
    </w:div>
    <w:div w:id="755831097">
      <w:bodyDiv w:val="1"/>
      <w:marLeft w:val="0"/>
      <w:marRight w:val="0"/>
      <w:marTop w:val="0"/>
      <w:marBottom w:val="0"/>
      <w:divBdr>
        <w:top w:val="none" w:sz="0" w:space="0" w:color="auto"/>
        <w:left w:val="none" w:sz="0" w:space="0" w:color="auto"/>
        <w:bottom w:val="none" w:sz="0" w:space="0" w:color="auto"/>
        <w:right w:val="none" w:sz="0" w:space="0" w:color="auto"/>
      </w:divBdr>
    </w:div>
    <w:div w:id="758527847">
      <w:bodyDiv w:val="1"/>
      <w:marLeft w:val="0"/>
      <w:marRight w:val="0"/>
      <w:marTop w:val="0"/>
      <w:marBottom w:val="0"/>
      <w:divBdr>
        <w:top w:val="none" w:sz="0" w:space="0" w:color="auto"/>
        <w:left w:val="none" w:sz="0" w:space="0" w:color="auto"/>
        <w:bottom w:val="none" w:sz="0" w:space="0" w:color="auto"/>
        <w:right w:val="none" w:sz="0" w:space="0" w:color="auto"/>
      </w:divBdr>
    </w:div>
    <w:div w:id="797726915">
      <w:bodyDiv w:val="1"/>
      <w:marLeft w:val="0"/>
      <w:marRight w:val="0"/>
      <w:marTop w:val="0"/>
      <w:marBottom w:val="0"/>
      <w:divBdr>
        <w:top w:val="none" w:sz="0" w:space="0" w:color="auto"/>
        <w:left w:val="none" w:sz="0" w:space="0" w:color="auto"/>
        <w:bottom w:val="none" w:sz="0" w:space="0" w:color="auto"/>
        <w:right w:val="none" w:sz="0" w:space="0" w:color="auto"/>
      </w:divBdr>
    </w:div>
    <w:div w:id="886720150">
      <w:bodyDiv w:val="1"/>
      <w:marLeft w:val="0"/>
      <w:marRight w:val="0"/>
      <w:marTop w:val="0"/>
      <w:marBottom w:val="0"/>
      <w:divBdr>
        <w:top w:val="none" w:sz="0" w:space="0" w:color="auto"/>
        <w:left w:val="none" w:sz="0" w:space="0" w:color="auto"/>
        <w:bottom w:val="none" w:sz="0" w:space="0" w:color="auto"/>
        <w:right w:val="none" w:sz="0" w:space="0" w:color="auto"/>
      </w:divBdr>
    </w:div>
    <w:div w:id="893083001">
      <w:bodyDiv w:val="1"/>
      <w:marLeft w:val="0"/>
      <w:marRight w:val="0"/>
      <w:marTop w:val="0"/>
      <w:marBottom w:val="0"/>
      <w:divBdr>
        <w:top w:val="none" w:sz="0" w:space="0" w:color="auto"/>
        <w:left w:val="none" w:sz="0" w:space="0" w:color="auto"/>
        <w:bottom w:val="none" w:sz="0" w:space="0" w:color="auto"/>
        <w:right w:val="none" w:sz="0" w:space="0" w:color="auto"/>
      </w:divBdr>
    </w:div>
    <w:div w:id="928152584">
      <w:bodyDiv w:val="1"/>
      <w:marLeft w:val="0"/>
      <w:marRight w:val="0"/>
      <w:marTop w:val="0"/>
      <w:marBottom w:val="0"/>
      <w:divBdr>
        <w:top w:val="none" w:sz="0" w:space="0" w:color="auto"/>
        <w:left w:val="none" w:sz="0" w:space="0" w:color="auto"/>
        <w:bottom w:val="none" w:sz="0" w:space="0" w:color="auto"/>
        <w:right w:val="none" w:sz="0" w:space="0" w:color="auto"/>
      </w:divBdr>
    </w:div>
    <w:div w:id="972176189">
      <w:bodyDiv w:val="1"/>
      <w:marLeft w:val="0"/>
      <w:marRight w:val="0"/>
      <w:marTop w:val="0"/>
      <w:marBottom w:val="0"/>
      <w:divBdr>
        <w:top w:val="none" w:sz="0" w:space="0" w:color="auto"/>
        <w:left w:val="none" w:sz="0" w:space="0" w:color="auto"/>
        <w:bottom w:val="none" w:sz="0" w:space="0" w:color="auto"/>
        <w:right w:val="none" w:sz="0" w:space="0" w:color="auto"/>
      </w:divBdr>
    </w:div>
    <w:div w:id="1021862187">
      <w:bodyDiv w:val="1"/>
      <w:marLeft w:val="0"/>
      <w:marRight w:val="0"/>
      <w:marTop w:val="0"/>
      <w:marBottom w:val="0"/>
      <w:divBdr>
        <w:top w:val="none" w:sz="0" w:space="0" w:color="auto"/>
        <w:left w:val="none" w:sz="0" w:space="0" w:color="auto"/>
        <w:bottom w:val="none" w:sz="0" w:space="0" w:color="auto"/>
        <w:right w:val="none" w:sz="0" w:space="0" w:color="auto"/>
      </w:divBdr>
    </w:div>
    <w:div w:id="1087310154">
      <w:bodyDiv w:val="1"/>
      <w:marLeft w:val="0"/>
      <w:marRight w:val="0"/>
      <w:marTop w:val="0"/>
      <w:marBottom w:val="0"/>
      <w:divBdr>
        <w:top w:val="none" w:sz="0" w:space="0" w:color="auto"/>
        <w:left w:val="none" w:sz="0" w:space="0" w:color="auto"/>
        <w:bottom w:val="none" w:sz="0" w:space="0" w:color="auto"/>
        <w:right w:val="none" w:sz="0" w:space="0" w:color="auto"/>
      </w:divBdr>
    </w:div>
    <w:div w:id="1202597825">
      <w:bodyDiv w:val="1"/>
      <w:marLeft w:val="0"/>
      <w:marRight w:val="0"/>
      <w:marTop w:val="0"/>
      <w:marBottom w:val="0"/>
      <w:divBdr>
        <w:top w:val="none" w:sz="0" w:space="0" w:color="auto"/>
        <w:left w:val="none" w:sz="0" w:space="0" w:color="auto"/>
        <w:bottom w:val="none" w:sz="0" w:space="0" w:color="auto"/>
        <w:right w:val="none" w:sz="0" w:space="0" w:color="auto"/>
      </w:divBdr>
    </w:div>
    <w:div w:id="1240168458">
      <w:bodyDiv w:val="1"/>
      <w:marLeft w:val="0"/>
      <w:marRight w:val="0"/>
      <w:marTop w:val="0"/>
      <w:marBottom w:val="0"/>
      <w:divBdr>
        <w:top w:val="none" w:sz="0" w:space="0" w:color="auto"/>
        <w:left w:val="none" w:sz="0" w:space="0" w:color="auto"/>
        <w:bottom w:val="none" w:sz="0" w:space="0" w:color="auto"/>
        <w:right w:val="none" w:sz="0" w:space="0" w:color="auto"/>
      </w:divBdr>
    </w:div>
    <w:div w:id="1618565069">
      <w:bodyDiv w:val="1"/>
      <w:marLeft w:val="0"/>
      <w:marRight w:val="0"/>
      <w:marTop w:val="0"/>
      <w:marBottom w:val="0"/>
      <w:divBdr>
        <w:top w:val="none" w:sz="0" w:space="0" w:color="auto"/>
        <w:left w:val="none" w:sz="0" w:space="0" w:color="auto"/>
        <w:bottom w:val="none" w:sz="0" w:space="0" w:color="auto"/>
        <w:right w:val="none" w:sz="0" w:space="0" w:color="auto"/>
      </w:divBdr>
    </w:div>
    <w:div w:id="1750733608">
      <w:bodyDiv w:val="1"/>
      <w:marLeft w:val="0"/>
      <w:marRight w:val="0"/>
      <w:marTop w:val="0"/>
      <w:marBottom w:val="0"/>
      <w:divBdr>
        <w:top w:val="none" w:sz="0" w:space="0" w:color="auto"/>
        <w:left w:val="none" w:sz="0" w:space="0" w:color="auto"/>
        <w:bottom w:val="none" w:sz="0" w:space="0" w:color="auto"/>
        <w:right w:val="none" w:sz="0" w:space="0" w:color="auto"/>
      </w:divBdr>
    </w:div>
    <w:div w:id="1959754576">
      <w:bodyDiv w:val="1"/>
      <w:marLeft w:val="0"/>
      <w:marRight w:val="0"/>
      <w:marTop w:val="0"/>
      <w:marBottom w:val="0"/>
      <w:divBdr>
        <w:top w:val="none" w:sz="0" w:space="0" w:color="auto"/>
        <w:left w:val="none" w:sz="0" w:space="0" w:color="auto"/>
        <w:bottom w:val="none" w:sz="0" w:space="0" w:color="auto"/>
        <w:right w:val="none" w:sz="0" w:space="0" w:color="auto"/>
      </w:divBdr>
    </w:div>
    <w:div w:id="2084909307">
      <w:bodyDiv w:val="1"/>
      <w:marLeft w:val="0"/>
      <w:marRight w:val="0"/>
      <w:marTop w:val="0"/>
      <w:marBottom w:val="0"/>
      <w:divBdr>
        <w:top w:val="none" w:sz="0" w:space="0" w:color="auto"/>
        <w:left w:val="none" w:sz="0" w:space="0" w:color="auto"/>
        <w:bottom w:val="none" w:sz="0" w:space="0" w:color="auto"/>
        <w:right w:val="none" w:sz="0" w:space="0" w:color="auto"/>
      </w:divBdr>
    </w:div>
    <w:div w:id="2085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rc.nist.gov/publications/detail/sp/800-193/draft" TargetMode="Externa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ure.microsoft.com/en-us/blog/azure-iot-supports-new-security-hardware-to-strengthen-iot-secur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oter" Target="footer3.xml"/><Relationship Id="rId10" Type="http://schemas.openxmlformats.org/officeDocument/2006/relationships/hyperlink" Target="https://trustedcomputinggroup.org/work-groups/dice-architectur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icrosoft.com/en-us/research/publication/cyber-resilient-platform-requirements/" TargetMode="Externa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DICE</b:Tag>
    <b:SourceType>Misc</b:SourceType>
    <b:Guid>{7FD8BCD3-1DF4-444C-8196-D5614A38AE9B}</b:Guid>
    <b:Title>Trusted Platform Architecture - Hardware Requirements for a Device Identifier Composition Engine (DRAFT)</b:Title>
    <b:RefOrder>3</b:RefOrder>
  </b:Source>
  <b:Source>
    <b:Tag>Eng17</b:Tag>
    <b:SourceType>Misc</b:SourceType>
    <b:Guid>{AFA26A03-7F06-4BA5-82D1-92D8D231FA10}</b:Guid>
    <b:Title>Cyber-Resilient Platform Requirements</b:Title>
    <b:Year>2017</b:Year>
    <b:Author>
      <b:Author>
        <b:NameList>
          <b:Person>
            <b:Last>England</b:Last>
            <b:First>Paul</b:First>
          </b:Person>
          <b:Person>
            <b:Last>Aigner</b:Last>
            <b:First>Ronald</b:First>
          </b:Person>
          <b:Person>
            <b:Last>Marochko</b:Last>
            <b:First>Andrey</b:First>
          </b:Person>
          <b:Person>
            <b:Last>Mattoon</b:Last>
            <b:First>Dennis</b:First>
          </b:Person>
          <b:Person>
            <b:Last>Spiger</b:Last>
            <b:First>Rob</b:First>
          </b:Person>
          <b:Person>
            <b:Last>Thom</b:Last>
            <b:First>Stefan</b:First>
          </b:Person>
        </b:NameList>
      </b:Author>
    </b:Author>
    <b:RefOrder>2</b:RefOrder>
  </b:Source>
  <b:Source>
    <b:Tag>Eng</b:Tag>
    <b:SourceType>Misc</b:SourceType>
    <b:Guid>{771329CE-7FD8-44C2-86BE-7C607F5D8527}</b:Guid>
    <b:Title>Cyber Resilient Systems Software Architecture</b:Title>
    <b:Author>
      <b:Author>
        <b:NameList>
          <b:Person>
            <b:Last>England</b:Last>
            <b:First>Paul</b:First>
          </b:Person>
          <b:Person>
            <b:Last>Aigner</b:Last>
            <b:First>Ronald</b:First>
          </b:Person>
          <b:Person>
            <b:Last>Marochko</b:Last>
            <b:First>Andrey</b:First>
          </b:Person>
          <b:Person>
            <b:Last>Mattoon</b:Last>
            <b:First>Dennis</b:First>
          </b:Person>
          <b:Person>
            <b:Last>Spiger</b:Last>
            <b:First>Rob</b:First>
          </b:Person>
          <b:Person>
            <b:Last>Thom</b:Last>
            <b:First>Stefan</b:First>
          </b:Person>
        </b:NameList>
      </b:Author>
    </b:Author>
    <b:RefOrder>8</b:RefOrder>
  </b:Source>
  <b:Source>
    <b:Tag>Eng1</b:Tag>
    <b:SourceType>Misc</b:SourceType>
    <b:Guid>{E4FD5168-7757-4831-A3D4-A11DE8D15065}</b:Guid>
    <b:Title>RIoT - A Foundation for Trust in the Internet of Things</b:Title>
    <b:Author>
      <b:Author>
        <b:NameList>
          <b:Person>
            <b:Last>England</b:Last>
            <b:First>Paul</b:First>
          </b:Person>
          <b:Person>
            <b:Last>Marochko</b:Last>
            <b:First>Andrey</b:First>
          </b:Person>
          <b:Person>
            <b:Last>Mattoon </b:Last>
            <b:First>Dennis</b:First>
          </b:Person>
          <b:Person>
            <b:Last>Spiger</b:Last>
            <b:First>Rob</b:First>
          </b:Person>
          <b:Person>
            <b:Last>Thom</b:Last>
            <b:First>Stefan</b:First>
          </b:Person>
          <b:Person>
            <b:Last>Wooten</b:Last>
            <b:First>David</b:First>
          </b:Person>
        </b:NameList>
      </b:Author>
    </b:Author>
    <b:RefOrder>4</b:RefOrder>
  </b:Source>
  <b:Source>
    <b:Tag>Aut1</b:Tag>
    <b:SourceType>Misc</b:SourceType>
    <b:Guid>{2B44BE72-F175-41DC-87E3-634B2A80EB39}</b:Guid>
    <b:Title>Authenticated Watchdog Timers</b:Title>
    <b:Author>
      <b:Author>
        <b:NameList>
          <b:Person>
            <b:Last>England</b:Last>
            <b:First>Paul</b:First>
          </b:Person>
          <b:Person>
            <b:Last>Aigner</b:Last>
            <b:First>Ronald</b:First>
          </b:Person>
          <b:Person>
            <b:Last>Marochko</b:Last>
            <b:First>Andrey</b:First>
          </b:Person>
          <b:Person>
            <b:Last>Mattoon</b:Last>
            <b:First>Dennis</b:First>
          </b:Person>
          <b:Person>
            <b:Last>Spiger</b:Last>
            <b:First>Rob</b:First>
          </b:Person>
          <b:Person>
            <b:Last>Thom</b:Last>
            <b:First>Stefan</b:First>
          </b:Person>
        </b:NameList>
      </b:Author>
    </b:Author>
    <b:RefOrder>5</b:RefOrder>
  </b:Source>
  <b:Source>
    <b:Tag>Eng171</b:Tag>
    <b:SourceType>Misc</b:SourceType>
    <b:Guid>{9DE26545-388C-44AC-8D5F-EEBBAC00319B}</b:Guid>
    <b:Title>Device Identity with DICE and RIoT: Keys and Certificates</b:Title>
    <b:Year>2017</b:Year>
    <b:Author>
      <b:Author>
        <b:NameList>
          <b:Person>
            <b:Last>England</b:Last>
            <b:First>Paul</b:First>
          </b:Person>
          <b:Person>
            <b:Last>Aigner</b:Last>
            <b:First>Ronald</b:First>
          </b:Person>
          <b:Person>
            <b:Last>Marochko</b:Last>
            <b:First>Andrey</b:First>
          </b:Person>
          <b:Person>
            <b:Last>Mattoon</b:Last>
            <b:First>Dennis</b:First>
          </b:Person>
          <b:Person>
            <b:Last>Spiger</b:Last>
            <b:First>Rob</b:First>
          </b:Person>
          <b:Person>
            <b:Last>Thom</b:Last>
            <b:First>Stefan</b:First>
          </b:Person>
          <b:Person>
            <b:Last>Kane</b:Last>
            <b:First>Kevin</b:First>
          </b:Person>
          <b:Person>
            <b:Last>Zaverucha</b:Last>
            <b:First>Greg</b:First>
          </b:Person>
        </b:NameList>
      </b:Author>
    </b:Author>
    <b:RefOrder>6</b:RefOrder>
  </b:Source>
  <b:Source>
    <b:Tag>Tru85</b:Tag>
    <b:SourceType>Misc</b:SourceType>
    <b:Guid>{EA1BA086-940A-4804-BCA5-D2A8C2858AF0}</b:Guid>
    <b:Title>Trusted Computer System Evaluation Criteria</b:Title>
    <b:Year>1985</b:Year>
    <b:RefOrder>7</b:RefOrder>
  </b:Source>
  <b:Source>
    <b:Tag>800_193</b:Tag>
    <b:SourceType>Misc</b:SourceType>
    <b:Guid>{F8CE8DA6-4025-4D39-9255-F26FE9929166}</b:Guid>
    <b:Title>Platform Firmware Resiliency Guidelines - SP 800-193 (DRAFT)</b:Title>
    <b:Year>2017</b:Year>
    <b:Author>
      <b:Author>
        <b:NameList>
          <b:Person>
            <b:Last>Regenscheid</b:Last>
            <b:First>Andrew</b:First>
          </b:Person>
        </b:NameList>
      </b:Author>
    </b:Author>
    <b:RefOrder>1</b:RefOrder>
  </b:Source>
</b:Sources>
</file>

<file path=customXml/itemProps1.xml><?xml version="1.0" encoding="utf-8"?>
<ds:datastoreItem xmlns:ds="http://schemas.openxmlformats.org/officeDocument/2006/customXml" ds:itemID="{C881E97C-A46B-46F4-95FD-DF917834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England</dc:creator>
  <cp:keywords/>
  <dc:description/>
  <cp:lastModifiedBy>Paul England</cp:lastModifiedBy>
  <cp:revision>2</cp:revision>
  <cp:lastPrinted>2017-09-21T15:41:00Z</cp:lastPrinted>
  <dcterms:created xsi:type="dcterms:W3CDTF">2017-09-21T15:57:00Z</dcterms:created>
  <dcterms:modified xsi:type="dcterms:W3CDTF">2017-09-21T15:57:00Z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pengland@microsoft.com</vt:lpwstr>
  </property>
  <property fmtid="{D5CDD505-2E9C-101B-9397-08002B2CF9AE}" pid="6" name="MSIP_Label_f42aa342-8706-4288-bd11-ebb85995028c_SetDate">
    <vt:lpwstr>2017-08-09T14:02:59.8997897-07:00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