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Microsoft Kvalificētā izglītības sektora lietotāja definīcija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Tālāk minētie ir tiesīgi iegādāties Microsoft akadēmisko izdevumu produktus tālāk uzskaitītajās programmās (ievērojot jebkādas papildu atbilstības prasības, kas var attiekties uz šādām programmām) un ir definēti kā kvalificēti izglītības produktu lietotāji. Microsoft patur tiesības pārskatīt jebkura klienta vai potenciālā klienta statusu kā kvalificētam izglītības produktu lietotājam un atteikt vai atcelt šādu statusu, ja klients vai potenciālais klients nav skaidri pierādījis un pamatojis savu atbilstību saskaņā ar šajā dokumentā noteiktajiem kritērijiem korporācijai Microsoft vai saglabāt savu statusu.</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KVALIFICĒTI IZGLĪTĪBAS PRODUKTU LIETOTĀJI</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Izglītības iestāde</w:t>
            </w:r>
          </w:p>
          <w:p w14:paraId="231111FD" w14:textId="7AFEC09A" w:rsidR="005A1EE0" w:rsidRPr="002F47DF" w:rsidRDefault="00A547C1" w:rsidP="00EA7BAF">
            <w:pPr>
              <w:ind w:left="180" w:hanging="180"/>
              <w:rPr>
                <w:rFonts w:ascii="Arial" w:hAnsi="Arial" w:cs="Arial"/>
                <w:b/>
                <w:sz w:val="18"/>
              </w:rPr>
            </w:pPr>
            <w:r>
              <w:rPr>
                <w:rFonts w:ascii="Arial" w:hAnsi="Arial" w:cs="Arial"/>
                <w:sz w:val="16"/>
              </w:rPr>
              <w:t>„</w:t>
            </w:r>
            <w:r w:rsidR="005A1EE0">
              <w:rPr>
                <w:rFonts w:ascii="Arial" w:hAnsi="Arial" w:cs="Arial"/>
                <w:sz w:val="16"/>
              </w:rPr>
              <w:t>Izglītības iestāde</w:t>
            </w:r>
            <w:r>
              <w:rPr>
                <w:rFonts w:ascii="Arial" w:hAnsi="Arial" w:cs="Arial"/>
                <w:sz w:val="16"/>
              </w:rPr>
              <w:t>“</w:t>
            </w:r>
            <w:r w:rsidR="005A1EE0">
              <w:rPr>
                <w:rFonts w:ascii="Arial" w:hAnsi="Arial" w:cs="Arial"/>
                <w:sz w:val="16"/>
              </w:rPr>
              <w:t xml:space="preserve"> ir</w:t>
            </w:r>
          </w:p>
        </w:tc>
        <w:tc>
          <w:tcPr>
            <w:tcW w:w="2430" w:type="dxa"/>
            <w:tcBorders>
              <w:top w:val="double" w:sz="6" w:space="0" w:color="auto"/>
            </w:tcBorders>
          </w:tcPr>
          <w:p w14:paraId="46E0465A" w14:textId="77777777" w:rsidR="0011556F" w:rsidRDefault="005A1EE0" w:rsidP="00EA7BAF">
            <w:pPr>
              <w:ind w:left="74"/>
              <w:rPr>
                <w:rFonts w:ascii="Arial" w:hAnsi="Arial" w:cs="Arial"/>
                <w:sz w:val="16"/>
                <w:szCs w:val="18"/>
              </w:rPr>
            </w:pPr>
            <w:r>
              <w:rPr>
                <w:rFonts w:ascii="Arial" w:hAnsi="Arial" w:cs="Arial"/>
                <w:sz w:val="16"/>
                <w:szCs w:val="18"/>
              </w:rPr>
              <w:t>Izglītības iestāžu ATBILSTĪGĀS PROGRAMMAS (I–II):</w:t>
            </w:r>
          </w:p>
          <w:p w14:paraId="23111200" w14:textId="6FF5E1B1" w:rsidR="0053085C" w:rsidRPr="005A149E" w:rsidRDefault="0053085C" w:rsidP="00EA7BAF">
            <w:pPr>
              <w:ind w:left="74"/>
              <w:rPr>
                <w:rFonts w:ascii="Arial" w:hAnsi="Arial" w:cs="Arial"/>
                <w:sz w:val="16"/>
                <w:szCs w:val="18"/>
              </w:rPr>
            </w:pP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38FC270F" w:rsidR="005A1EE0" w:rsidRPr="005A149E" w:rsidRDefault="005A1EE0" w:rsidP="00A97670">
            <w:pPr>
              <w:ind w:firstLine="14"/>
              <w:rPr>
                <w:rFonts w:ascii="Arial" w:hAnsi="Arial" w:cs="Arial"/>
                <w:sz w:val="16"/>
                <w:szCs w:val="16"/>
              </w:rPr>
            </w:pPr>
            <w:r>
              <w:rPr>
                <w:rFonts w:ascii="Arial" w:hAnsi="Arial" w:cs="Arial"/>
                <w:sz w:val="16"/>
                <w:szCs w:val="16"/>
              </w:rPr>
              <w:t>izglītības iestāde vai iestāde, kas ir valsts vai privātā skola, pamatskola, pirmskola, pirmvidusskola, cita vidusskola vai vidusskola, īpaša skola invalīdiem, arodskola, mācību skola, jaunākā koledža, izglītības koledža, universitāte, zinātniskā vai tehniskā skola, vai militārā skola vai cita mācību iestāde, kas ir valdības pakļautībā un piešķir grādus, un kas atbilst visiem šādiem kritērijiem:</w:t>
            </w:r>
          </w:p>
          <w:p w14:paraId="23BC92E9" w14:textId="0D5FCEC8"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Piedāvā mācību kursus, kuru rezultātā tiek iegūts sertifikāts, kas tiek atzīts</w:t>
            </w:r>
            <w:r w:rsidR="00C239FA">
              <w:rPr>
                <w:rFonts w:ascii="Arial" w:hAnsi="Arial" w:cs="Arial"/>
                <w:sz w:val="16"/>
                <w:szCs w:val="16"/>
              </w:rPr>
              <w:t> </w:t>
            </w:r>
            <w:r>
              <w:rPr>
                <w:rFonts w:ascii="Arial" w:hAnsi="Arial" w:cs="Arial"/>
                <w:sz w:val="16"/>
                <w:szCs w:val="16"/>
              </w:rPr>
              <w:t>par daļu no valsts vispārējās izglītības virzības. (Šādas sertifikācijas piemēri ir: starptautiskais bakalaurs; skolas sertifikāts, asociētais diploms, diploms; bakalaura grāds; maģistra grāds; doktora grāds); un</w:t>
            </w:r>
          </w:p>
          <w:p w14:paraId="23111203" w14:textId="1B5131F7"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ir akreditēta izglītības ministrijā/departamentā vai atbilstošā atzītā izglītības akreditācijas aģentūrā valstī. Ja nav tiešas akreditācijas, ir jābūt akreditācijai ar pilnvaru (t. i., skolas vai iestādes piedāvātajam sertifikātam ir jābūt pieņemamam ieskaitīšanai vai ievietošanai tradicionāli akreditētā izglītības iestādē vietēji vai ārzemēs);</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3257931F"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(K12 izglītība vai pirmsskola un augstāka)</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Līgums Get Genuine Windows — Academic</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Klienta līgums (ietver CSP)</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tiešsaistes abonēšanas līgums</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Līgums Microsoft Products and Services Agreement</w:t>
            </w:r>
          </w:p>
          <w:p w14:paraId="61D3C2B1" w14:textId="0839DB51"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Education Solutions (K12</w:t>
            </w:r>
            <w:r w:rsidR="006F411A">
              <w:rPr>
                <w:rFonts w:ascii="Arial" w:hAnsi="Arial" w:cs="Arial"/>
                <w:sz w:val="16"/>
                <w:szCs w:val="16"/>
              </w:rPr>
              <w:t> </w:t>
            </w:r>
            <w:r>
              <w:rPr>
                <w:rFonts w:ascii="Arial" w:hAnsi="Arial" w:cs="Arial"/>
                <w:sz w:val="16"/>
                <w:szCs w:val="16"/>
              </w:rPr>
              <w:t>Ed vai Preschool &amp;</w:t>
            </w:r>
            <w:r w:rsidR="006F411A">
              <w:rPr>
                <w:rFonts w:ascii="Arial" w:hAnsi="Arial" w:cs="Arial"/>
                <w:sz w:val="16"/>
                <w:szCs w:val="16"/>
              </w:rPr>
              <w:t> </w:t>
            </w:r>
            <w:r>
              <w:rPr>
                <w:rFonts w:ascii="Arial" w:hAnsi="Arial" w:cs="Arial"/>
                <w:sz w:val="16"/>
                <w:szCs w:val="16"/>
              </w:rPr>
              <w:t>Higher Ed)</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Līgums School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(tikai pamata vai vidējās izglītības sektors)</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Pakalpojumu nodrošinātāja licences līgums</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54BB6311" w:rsidR="00907547" w:rsidRDefault="00907547" w:rsidP="00A97670">
            <w:pPr>
              <w:rPr>
                <w:rFonts w:ascii="Arial" w:hAnsi="Arial" w:cs="Arial"/>
                <w:sz w:val="16"/>
                <w:szCs w:val="16"/>
              </w:rPr>
            </w:pPr>
            <w:r>
              <w:rPr>
                <w:rFonts w:ascii="Arial" w:hAnsi="Arial" w:cs="Arial"/>
                <w:sz w:val="16"/>
                <w:szCs w:val="16"/>
              </w:rPr>
              <w:t>bērnu centrs, kas atbilst visiem šiem kritērijiem:</w:t>
            </w:r>
          </w:p>
          <w:p w14:paraId="51B0242F" w14:textId="77777777"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 xml:space="preserve">ir pirmsskolas programma, kas ieviesta, lai sniegtu izglītības pakalpojumus bērniem vecumā no viena līdz sešiem gadiem, un kas apkalpo vismaz desmit šādus bērnus; </w:t>
            </w:r>
          </w:p>
          <w:p w14:paraId="6D690367" w14:textId="77777777"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ir likumīgi dibināta, pilnvarota, izveidota, licencēta, atzīta, reģistrēta un/vai akreditēta izglītības ministrijā/departamentā vai attiecīgā atzītā akreditācijas aģentūrā attiecīgajā valstī; un</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darbojas vismaz gadu;</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4E7561E0" w14:textId="77777777" w:rsidR="005A149E" w:rsidRDefault="005A149E" w:rsidP="00EA7BAF">
            <w:pPr>
              <w:ind w:left="74"/>
              <w:rPr>
                <w:rFonts w:ascii="Arial" w:hAnsi="Arial" w:cs="Arial"/>
                <w:sz w:val="16"/>
                <w:szCs w:val="18"/>
              </w:rPr>
            </w:pPr>
            <w:r>
              <w:rPr>
                <w:rFonts w:ascii="Arial" w:hAnsi="Arial" w:cs="Arial"/>
                <w:sz w:val="16"/>
                <w:szCs w:val="18"/>
              </w:rPr>
              <w:t>Izglītības iestāžu ATBILSTĪGĀS PROGRAMMAS (III)</w:t>
            </w:r>
          </w:p>
          <w:p w14:paraId="38BA1160" w14:textId="24F7B8B3" w:rsidR="0053085C" w:rsidRPr="005A149E" w:rsidRDefault="0053085C" w:rsidP="00EA7BAF">
            <w:pPr>
              <w:ind w:left="74"/>
              <w:rPr>
                <w:rFonts w:ascii="Arial" w:hAnsi="Arial" w:cs="Arial"/>
                <w:sz w:val="16"/>
                <w:szCs w:val="18"/>
              </w:rPr>
            </w:pP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bezpeļņas pilna laika mācību iestāde/organizācija, tostarp tālākizglītība, kam nav akadēmiska un/vai valsts iestādes atzinuma.</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Līgums Get Genuine Windows — Academic</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Klienta līgums (ietver CSP)</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Līgums Microsoft Products and Services Agreement</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Izglītības iestādes administratīvie biroji</w:t>
            </w:r>
            <w:r>
              <w:rPr>
                <w:rFonts w:ascii="Arial" w:hAnsi="Arial" w:cs="Arial"/>
                <w:sz w:val="16"/>
                <w:szCs w:val="16"/>
              </w:rPr>
              <w:t xml:space="preserve"> </w:t>
            </w:r>
          </w:p>
          <w:p w14:paraId="0656CFE6" w14:textId="7A5BC1CC" w:rsidR="00873AA2" w:rsidRPr="00EB6000" w:rsidRDefault="00A547C1" w:rsidP="0052338B">
            <w:pPr>
              <w:spacing w:after="120"/>
              <w:rPr>
                <w:rFonts w:ascii="Arial" w:hAnsi="Arial" w:cs="Arial"/>
                <w:sz w:val="16"/>
                <w:szCs w:val="16"/>
              </w:rPr>
            </w:pPr>
            <w:r>
              <w:rPr>
                <w:rFonts w:ascii="Arial" w:hAnsi="Arial" w:cs="Arial"/>
                <w:sz w:val="16"/>
                <w:szCs w:val="16"/>
              </w:rPr>
              <w:t>„</w:t>
            </w:r>
            <w:r w:rsidR="00873AA2">
              <w:rPr>
                <w:rFonts w:ascii="Arial" w:hAnsi="Arial" w:cs="Arial"/>
                <w:sz w:val="16"/>
                <w:szCs w:val="16"/>
              </w:rPr>
              <w:t>Izglītības iestādes administratīvie biroji</w:t>
            </w:r>
            <w:r>
              <w:rPr>
                <w:rFonts w:ascii="Arial" w:hAnsi="Arial" w:cs="Arial"/>
                <w:sz w:val="16"/>
                <w:szCs w:val="16"/>
              </w:rPr>
              <w:t>“</w:t>
            </w:r>
            <w:r w:rsidR="00873AA2">
              <w:rPr>
                <w:rFonts w:ascii="Arial" w:hAnsi="Arial" w:cs="Arial"/>
                <w:sz w:val="16"/>
                <w:szCs w:val="16"/>
              </w:rPr>
              <w:t xml:space="preserve"> ir:</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valsts izglītības iestāžu vietējie, reģionālie vai valsts pārvaldes biroji;</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administratīvas iestādes, kuras kontrolē un kuras ir organizētas un darbojas vienīgi privātu izglītības iestāžu administrēšanai; vai</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citas valsts, reģionālās vai vietējās pārvaldes struktūras, katrā atsevišķā gadījumā gandrīz visas, kuru darbības sastāv no administratīva atbalsta, kas veicina akadēmisko mācīšanos, valsts izglītības iestādēm.</w:t>
            </w:r>
          </w:p>
          <w:p w14:paraId="2311120F" w14:textId="6DDA8ECF" w:rsidR="00296B92" w:rsidRPr="00EB6000" w:rsidRDefault="00873AA2" w:rsidP="00A97670">
            <w:pPr>
              <w:rPr>
                <w:rFonts w:ascii="Arial" w:hAnsi="Arial" w:cs="Arial"/>
                <w:sz w:val="16"/>
                <w:szCs w:val="16"/>
              </w:rPr>
            </w:pPr>
            <w:r>
              <w:rPr>
                <w:rFonts w:ascii="Arial" w:hAnsi="Arial" w:cs="Arial"/>
                <w:sz w:val="16"/>
                <w:szCs w:val="16"/>
              </w:rPr>
              <w:t>Lai izvairītos no šaubām, tikai tās rajona/reģionālā biroja nodaļas, kuru vienīgā</w:t>
            </w:r>
            <w:r w:rsidR="006514FF">
              <w:rPr>
                <w:rFonts w:ascii="Arial" w:hAnsi="Arial" w:cs="Arial"/>
                <w:sz w:val="16"/>
                <w:szCs w:val="16"/>
              </w:rPr>
              <w:t> </w:t>
            </w:r>
            <w:r>
              <w:rPr>
                <w:rFonts w:ascii="Arial" w:hAnsi="Arial" w:cs="Arial"/>
                <w:sz w:val="16"/>
                <w:szCs w:val="16"/>
              </w:rPr>
              <w:t>funkcija ir nodrošināt izglītības iestādēm administratīvos un pārvaldības pakalpojumus, ir kvalificējamas kā Microsoft atbilstīgs izglītības klients.</w:t>
            </w:r>
          </w:p>
        </w:tc>
        <w:tc>
          <w:tcPr>
            <w:tcW w:w="2430" w:type="dxa"/>
            <w:tcBorders>
              <w:top w:val="single" w:sz="4" w:space="0" w:color="auto"/>
              <w:bottom w:val="single" w:sz="6" w:space="0" w:color="auto"/>
            </w:tcBorders>
          </w:tcPr>
          <w:p w14:paraId="41B54446" w14:textId="7B4ECE2D" w:rsidR="00A97670" w:rsidRPr="007510DD" w:rsidRDefault="00A97670" w:rsidP="00A97670">
            <w:pPr>
              <w:rPr>
                <w:rFonts w:ascii="Arial" w:hAnsi="Arial" w:cs="Arial"/>
                <w:spacing w:val="-2"/>
                <w:sz w:val="16"/>
                <w:szCs w:val="16"/>
              </w:rPr>
            </w:pPr>
            <w:r w:rsidRPr="007510DD">
              <w:rPr>
                <w:rFonts w:ascii="Arial" w:hAnsi="Arial" w:cs="Arial"/>
                <w:spacing w:val="-2"/>
                <w:sz w:val="16"/>
                <w:szCs w:val="16"/>
              </w:rPr>
              <w:t>ATBILSTĪGĀS PROGRAMMAS izglītības iestādes administratīvajiem birojiem</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599C19C4"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(K12 izglītība vai pirmsskola un augstāka)</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Līgums Get Genuine Windows — Academic</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Klienta līgums (ietver CSP)</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tiešsaistes abonēšanas līgums</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Līgums Microsoft Products and Services Agreement</w:t>
            </w:r>
          </w:p>
          <w:p w14:paraId="23111216" w14:textId="730A07FE"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Education Solutions (K12</w:t>
            </w:r>
            <w:r w:rsidR="008F1B05">
              <w:rPr>
                <w:rFonts w:ascii="Arial" w:hAnsi="Arial" w:cs="Arial"/>
                <w:sz w:val="16"/>
                <w:szCs w:val="16"/>
              </w:rPr>
              <w:t> </w:t>
            </w:r>
            <w:r>
              <w:rPr>
                <w:rFonts w:ascii="Arial" w:hAnsi="Arial" w:cs="Arial"/>
                <w:sz w:val="16"/>
                <w:szCs w:val="16"/>
              </w:rPr>
              <w:t>Ed vai Preschool &amp;</w:t>
            </w:r>
            <w:r w:rsidR="008F1B05">
              <w:rPr>
                <w:rFonts w:ascii="Arial" w:hAnsi="Arial" w:cs="Arial"/>
                <w:sz w:val="16"/>
                <w:szCs w:val="16"/>
              </w:rPr>
              <w:t> </w:t>
            </w:r>
            <w:r>
              <w:rPr>
                <w:rFonts w:ascii="Arial" w:hAnsi="Arial" w:cs="Arial"/>
                <w:sz w:val="16"/>
                <w:szCs w:val="16"/>
              </w:rPr>
              <w:t>Higher Ed)</w:t>
            </w:r>
          </w:p>
          <w:p w14:paraId="729247AD" w14:textId="6EEB8060"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Līgums School (pamata un vidējās izglītības sektors)</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Pakalpojumu nodrošinātāja licences līgums</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slimnīcas, veselības aprūpes sistēmas un izpētes laboratorijas.</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Slimnīcas, veselības aprūpes sistēmas un pētniecības laboratorijas (ar to saprotot iestādes, kas cenšas licencēt Microsoft akadēmiskā izdevuma produktus; tostarp neatkarīgas pētniecības laboratorijas vai pētniecības laboratorijas, kas ir saistītas ar piemērotu izglītības klientu vai valsts aģentūru) nav kvalificēti izglītības lietotāji saskaņā ar iepriekš minēto A un B punktu. Tās ir tiesīgas iegādāties akadēmiskā izdevuma produktu licences tikai tad, ja tās pilnībā pieder izglītības iestādei vai izglītības iestādes administratīvajam birojam un tas tos pārvalda.</w:t>
      </w:r>
    </w:p>
    <w:p w14:paraId="243285B1" w14:textId="4C6EC2D6" w:rsidR="00907547" w:rsidRPr="00EA7BAF" w:rsidRDefault="00A547C1" w:rsidP="00907547">
      <w:pPr>
        <w:spacing w:before="120"/>
        <w:jc w:val="both"/>
        <w:rPr>
          <w:rFonts w:ascii="Arial" w:hAnsi="Arial" w:cs="Arial"/>
          <w:sz w:val="16"/>
          <w:szCs w:val="16"/>
        </w:rPr>
      </w:pPr>
      <w:r>
        <w:rPr>
          <w:rFonts w:ascii="Arial" w:hAnsi="Arial" w:cs="Arial"/>
          <w:sz w:val="16"/>
          <w:szCs w:val="16"/>
        </w:rPr>
        <w:t>„</w:t>
      </w:r>
      <w:r w:rsidR="00907547">
        <w:rPr>
          <w:rFonts w:ascii="Arial" w:hAnsi="Arial" w:cs="Arial"/>
          <w:sz w:val="16"/>
          <w:szCs w:val="16"/>
        </w:rPr>
        <w:t>Pilnībā pieder un tās pārvalda</w:t>
      </w:r>
      <w:r>
        <w:rPr>
          <w:rFonts w:ascii="Arial" w:hAnsi="Arial" w:cs="Arial"/>
          <w:sz w:val="16"/>
          <w:szCs w:val="16"/>
        </w:rPr>
        <w:t>“</w:t>
      </w:r>
      <w:r w:rsidR="00907547">
        <w:rPr>
          <w:rFonts w:ascii="Arial" w:hAnsi="Arial" w:cs="Arial"/>
          <w:sz w:val="16"/>
          <w:szCs w:val="16"/>
        </w:rPr>
        <w:t xml:space="preserve"> nozīmē, ka izglītības iestāde vai izglītības iestādes administratīvais birojs ir vienīgais minētās slimnīcas, veselības aprūpes sistēmas vai pētniecības laboratorijas īpašnieks un vienīgā persona, kas kontrolē minētās iestādes ikdienas darbību.</w:t>
      </w:r>
    </w:p>
    <w:p w14:paraId="7925588F" w14:textId="5C67E865" w:rsidR="00873AA2" w:rsidRPr="0052338B" w:rsidRDefault="00907547" w:rsidP="00907547">
      <w:pPr>
        <w:spacing w:before="120"/>
        <w:jc w:val="both"/>
        <w:rPr>
          <w:rFonts w:ascii="Arial" w:hAnsi="Arial" w:cs="Arial"/>
          <w:sz w:val="18"/>
        </w:rPr>
      </w:pPr>
      <w:r>
        <w:rPr>
          <w:rFonts w:ascii="Arial" w:hAnsi="Arial" w:cs="Arial"/>
          <w:sz w:val="16"/>
          <w:szCs w:val="16"/>
        </w:rPr>
        <w:t xml:space="preserve">Atbilstīgās slimnīcas, veselības aprūpes sistēmas un pētniecības laboratorijas būs piemērotas tām pašām </w:t>
      </w:r>
      <w:r w:rsidR="00A547C1">
        <w:rPr>
          <w:rFonts w:ascii="Arial" w:hAnsi="Arial" w:cs="Arial"/>
          <w:sz w:val="16"/>
          <w:szCs w:val="16"/>
        </w:rPr>
        <w:t>„</w:t>
      </w:r>
      <w:r>
        <w:rPr>
          <w:rFonts w:ascii="Arial" w:hAnsi="Arial" w:cs="Arial"/>
          <w:sz w:val="16"/>
          <w:szCs w:val="16"/>
        </w:rPr>
        <w:t>Atbilstīgajām programmām</w:t>
      </w:r>
      <w:r w:rsidR="00A547C1">
        <w:rPr>
          <w:rFonts w:ascii="Arial" w:hAnsi="Arial" w:cs="Arial"/>
          <w:sz w:val="16"/>
          <w:szCs w:val="16"/>
        </w:rPr>
        <w:t>“</w:t>
      </w:r>
      <w:r>
        <w:rPr>
          <w:rFonts w:ascii="Arial" w:hAnsi="Arial" w:cs="Arial"/>
          <w:sz w:val="16"/>
          <w:szCs w:val="16"/>
        </w:rPr>
        <w:t>, kuras norādītas iepriekš A un B sadaļā, attiecībā uz izglītības iestādi vai izglītības iestādes administratīvo biroju, kas tām pilnībā pieder un kuru pārvalda (subjekts jebkādām papildu atbilstības prasībām, kas var attiekties uz šādām programmām). Jebkurā gadījumā tās NAV atļauts pirkt saskaņā ar līgumu School, un tās NAV atļauts iekļaut kā daļu no izglītības iestādes līguma School, pat ja tās pilnībā pieder izglītības iestādei un tās pārvalda.</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1FC6" w14:textId="77777777" w:rsidR="00D97E3F" w:rsidRDefault="00D97E3F">
      <w:r>
        <w:separator/>
      </w:r>
    </w:p>
  </w:endnote>
  <w:endnote w:type="continuationSeparator" w:id="0">
    <w:p w14:paraId="4A933841" w14:textId="77777777" w:rsidR="00D97E3F" w:rsidRDefault="00D9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601106" w:rsidRPr="00530318" w14:paraId="29E15B39" w14:textId="77777777" w:rsidTr="000B55F4">
      <w:trPr>
        <w:jc w:val="center"/>
      </w:trPr>
      <w:tc>
        <w:tcPr>
          <w:tcW w:w="4956" w:type="dxa"/>
        </w:tcPr>
        <w:p w14:paraId="2469AF76" w14:textId="77777777" w:rsidR="00601106" w:rsidRPr="00530318" w:rsidRDefault="00601106" w:rsidP="00601106">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LAV</w:t>
          </w:r>
          <w:r w:rsidRPr="00530318">
            <w:rPr>
              <w:rFonts w:ascii="Arial" w:hAnsi="Arial" w:cs="Arial"/>
              <w:sz w:val="16"/>
              <w:szCs w:val="16"/>
            </w:rPr>
            <w:t>)(</w:t>
          </w:r>
          <w:r>
            <w:rPr>
              <w:rFonts w:ascii="Arial" w:hAnsi="Arial" w:cs="Arial"/>
              <w:sz w:val="16"/>
              <w:szCs w:val="16"/>
            </w:rPr>
            <w:t>Aug2023)</w:t>
          </w:r>
        </w:p>
      </w:tc>
      <w:tc>
        <w:tcPr>
          <w:tcW w:w="4073" w:type="dxa"/>
        </w:tcPr>
        <w:p w14:paraId="057D1770" w14:textId="77777777" w:rsidR="00601106" w:rsidRDefault="00601106" w:rsidP="00601106">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2AF8E7CD" w14:textId="77777777" w:rsidR="00601106" w:rsidRPr="00530318" w:rsidRDefault="00601106" w:rsidP="00601106">
          <w:pPr>
            <w:jc w:val="right"/>
            <w:rPr>
              <w:rFonts w:ascii="Arial" w:hAnsi="Arial" w:cs="Arial"/>
              <w:sz w:val="16"/>
              <w:szCs w:val="16"/>
            </w:rPr>
          </w:pPr>
          <w:r>
            <w:rPr>
              <w:rFonts w:ascii="Arial" w:hAnsi="Arial" w:cs="Arial"/>
              <w:sz w:val="16"/>
              <w:szCs w:val="16"/>
            </w:rPr>
            <w:t>Document X20-11691</w:t>
          </w:r>
        </w:p>
      </w:tc>
    </w:tr>
  </w:tbl>
  <w:p w14:paraId="45755294" w14:textId="77777777" w:rsidR="00601106" w:rsidRPr="004D4BCB" w:rsidRDefault="00601106" w:rsidP="00601106">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601106" w:rsidRPr="00530318" w14:paraId="450C5BC8" w14:textId="77777777" w:rsidTr="000B55F4">
      <w:trPr>
        <w:jc w:val="center"/>
      </w:trPr>
      <w:tc>
        <w:tcPr>
          <w:tcW w:w="4956" w:type="dxa"/>
        </w:tcPr>
        <w:p w14:paraId="14A3AD51" w14:textId="1C1D41B3" w:rsidR="00601106" w:rsidRPr="00530318" w:rsidRDefault="00601106" w:rsidP="00601106">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LAV</w:t>
          </w:r>
          <w:r w:rsidRPr="00530318">
            <w:rPr>
              <w:rFonts w:ascii="Arial" w:hAnsi="Arial" w:cs="Arial"/>
              <w:sz w:val="16"/>
              <w:szCs w:val="16"/>
            </w:rPr>
            <w:t>)(</w:t>
          </w:r>
          <w:r>
            <w:rPr>
              <w:rFonts w:ascii="Arial" w:hAnsi="Arial" w:cs="Arial"/>
              <w:sz w:val="16"/>
              <w:szCs w:val="16"/>
            </w:rPr>
            <w:t>Aug2023)</w:t>
          </w:r>
        </w:p>
      </w:tc>
      <w:tc>
        <w:tcPr>
          <w:tcW w:w="4073" w:type="dxa"/>
        </w:tcPr>
        <w:p w14:paraId="663CB871" w14:textId="77777777" w:rsidR="00601106" w:rsidRDefault="00601106" w:rsidP="00601106">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427CB3D9" w14:textId="77777777" w:rsidR="00601106" w:rsidRPr="00530318" w:rsidRDefault="00601106" w:rsidP="00601106">
          <w:pPr>
            <w:jc w:val="right"/>
            <w:rPr>
              <w:rFonts w:ascii="Arial" w:hAnsi="Arial" w:cs="Arial"/>
              <w:sz w:val="16"/>
              <w:szCs w:val="16"/>
            </w:rPr>
          </w:pPr>
          <w:r>
            <w:rPr>
              <w:rFonts w:ascii="Arial" w:hAnsi="Arial" w:cs="Arial"/>
              <w:sz w:val="16"/>
              <w:szCs w:val="16"/>
            </w:rPr>
            <w:t>Document X20-11691</w:t>
          </w:r>
        </w:p>
      </w:tc>
    </w:tr>
  </w:tbl>
  <w:p w14:paraId="0629DA3B" w14:textId="77777777" w:rsidR="00601106" w:rsidRPr="004D4BCB" w:rsidRDefault="00601106" w:rsidP="0060110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F91E" w14:textId="77777777" w:rsidR="00D97E3F" w:rsidRDefault="00D97E3F">
      <w:r>
        <w:separator/>
      </w:r>
    </w:p>
  </w:footnote>
  <w:footnote w:type="continuationSeparator" w:id="0">
    <w:p w14:paraId="61A8F43D" w14:textId="77777777" w:rsidR="00D97E3F" w:rsidRDefault="00D97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25A9A"/>
    <w:rsid w:val="00036309"/>
    <w:rsid w:val="00044D04"/>
    <w:rsid w:val="00051E59"/>
    <w:rsid w:val="00052773"/>
    <w:rsid w:val="00054979"/>
    <w:rsid w:val="00062531"/>
    <w:rsid w:val="0006608F"/>
    <w:rsid w:val="00067502"/>
    <w:rsid w:val="00077BC7"/>
    <w:rsid w:val="00082E37"/>
    <w:rsid w:val="00090B9A"/>
    <w:rsid w:val="00091D42"/>
    <w:rsid w:val="000A4937"/>
    <w:rsid w:val="000A66FF"/>
    <w:rsid w:val="000A6714"/>
    <w:rsid w:val="000B656F"/>
    <w:rsid w:val="000B6EB0"/>
    <w:rsid w:val="000C4276"/>
    <w:rsid w:val="000D0CD0"/>
    <w:rsid w:val="000E0547"/>
    <w:rsid w:val="000E35C0"/>
    <w:rsid w:val="000F4B83"/>
    <w:rsid w:val="001131DE"/>
    <w:rsid w:val="00114544"/>
    <w:rsid w:val="0011556F"/>
    <w:rsid w:val="00123BDA"/>
    <w:rsid w:val="00132643"/>
    <w:rsid w:val="00156924"/>
    <w:rsid w:val="00192DCC"/>
    <w:rsid w:val="0019381D"/>
    <w:rsid w:val="001A13E8"/>
    <w:rsid w:val="001A2EC4"/>
    <w:rsid w:val="001A4FA5"/>
    <w:rsid w:val="001C3519"/>
    <w:rsid w:val="001C7554"/>
    <w:rsid w:val="001E02BF"/>
    <w:rsid w:val="001E124D"/>
    <w:rsid w:val="001F0188"/>
    <w:rsid w:val="0021499D"/>
    <w:rsid w:val="0023520B"/>
    <w:rsid w:val="00242607"/>
    <w:rsid w:val="00247CC7"/>
    <w:rsid w:val="00265D2F"/>
    <w:rsid w:val="00282B6C"/>
    <w:rsid w:val="002842AF"/>
    <w:rsid w:val="00296B92"/>
    <w:rsid w:val="002A6AB8"/>
    <w:rsid w:val="002B0E40"/>
    <w:rsid w:val="002D3E13"/>
    <w:rsid w:val="002E335D"/>
    <w:rsid w:val="002E3B56"/>
    <w:rsid w:val="002F04C2"/>
    <w:rsid w:val="002F139E"/>
    <w:rsid w:val="00304307"/>
    <w:rsid w:val="0030752E"/>
    <w:rsid w:val="00325618"/>
    <w:rsid w:val="00350050"/>
    <w:rsid w:val="00351F95"/>
    <w:rsid w:val="00353A24"/>
    <w:rsid w:val="00357209"/>
    <w:rsid w:val="00380219"/>
    <w:rsid w:val="003A720D"/>
    <w:rsid w:val="003B1BD0"/>
    <w:rsid w:val="003B4F36"/>
    <w:rsid w:val="003B7352"/>
    <w:rsid w:val="003E7B74"/>
    <w:rsid w:val="003F63FF"/>
    <w:rsid w:val="004151D3"/>
    <w:rsid w:val="00442E95"/>
    <w:rsid w:val="0045763B"/>
    <w:rsid w:val="004665D2"/>
    <w:rsid w:val="004741F7"/>
    <w:rsid w:val="00477294"/>
    <w:rsid w:val="004828E3"/>
    <w:rsid w:val="00483EA2"/>
    <w:rsid w:val="00487363"/>
    <w:rsid w:val="00492050"/>
    <w:rsid w:val="00496993"/>
    <w:rsid w:val="004B1B16"/>
    <w:rsid w:val="004B250A"/>
    <w:rsid w:val="004B35D1"/>
    <w:rsid w:val="004C5FF1"/>
    <w:rsid w:val="004D3B16"/>
    <w:rsid w:val="004D4BCB"/>
    <w:rsid w:val="004F2A73"/>
    <w:rsid w:val="005046C9"/>
    <w:rsid w:val="00507C4A"/>
    <w:rsid w:val="005103CB"/>
    <w:rsid w:val="00513063"/>
    <w:rsid w:val="0052338B"/>
    <w:rsid w:val="0053085C"/>
    <w:rsid w:val="0053246A"/>
    <w:rsid w:val="005416E0"/>
    <w:rsid w:val="005423E5"/>
    <w:rsid w:val="00546EC0"/>
    <w:rsid w:val="00562882"/>
    <w:rsid w:val="00565294"/>
    <w:rsid w:val="005702B7"/>
    <w:rsid w:val="00574C39"/>
    <w:rsid w:val="00582EBB"/>
    <w:rsid w:val="005A149E"/>
    <w:rsid w:val="005A1EE0"/>
    <w:rsid w:val="005A74D1"/>
    <w:rsid w:val="005C174C"/>
    <w:rsid w:val="005C79D0"/>
    <w:rsid w:val="005D084A"/>
    <w:rsid w:val="005D25A6"/>
    <w:rsid w:val="005D3FD9"/>
    <w:rsid w:val="005D50A6"/>
    <w:rsid w:val="005E5A33"/>
    <w:rsid w:val="005F5F2B"/>
    <w:rsid w:val="00601106"/>
    <w:rsid w:val="00605D2E"/>
    <w:rsid w:val="006073B6"/>
    <w:rsid w:val="00607F99"/>
    <w:rsid w:val="00624BB1"/>
    <w:rsid w:val="00625190"/>
    <w:rsid w:val="00625C19"/>
    <w:rsid w:val="00636900"/>
    <w:rsid w:val="00636CB0"/>
    <w:rsid w:val="006425DC"/>
    <w:rsid w:val="00646B52"/>
    <w:rsid w:val="00646F0D"/>
    <w:rsid w:val="006514FF"/>
    <w:rsid w:val="00657927"/>
    <w:rsid w:val="006650F9"/>
    <w:rsid w:val="00693C2D"/>
    <w:rsid w:val="00695C2C"/>
    <w:rsid w:val="006A679D"/>
    <w:rsid w:val="006B1921"/>
    <w:rsid w:val="006C0007"/>
    <w:rsid w:val="006C5847"/>
    <w:rsid w:val="006D4167"/>
    <w:rsid w:val="006D63D8"/>
    <w:rsid w:val="006E34D4"/>
    <w:rsid w:val="006E7E85"/>
    <w:rsid w:val="006F0006"/>
    <w:rsid w:val="006F411A"/>
    <w:rsid w:val="006F538E"/>
    <w:rsid w:val="007119E9"/>
    <w:rsid w:val="00714698"/>
    <w:rsid w:val="00716D88"/>
    <w:rsid w:val="00726AC7"/>
    <w:rsid w:val="007319DA"/>
    <w:rsid w:val="007404EE"/>
    <w:rsid w:val="0074465A"/>
    <w:rsid w:val="0074598A"/>
    <w:rsid w:val="007510DD"/>
    <w:rsid w:val="00754C7B"/>
    <w:rsid w:val="0075650B"/>
    <w:rsid w:val="00757664"/>
    <w:rsid w:val="00762A46"/>
    <w:rsid w:val="007717A3"/>
    <w:rsid w:val="0077680B"/>
    <w:rsid w:val="00781EFE"/>
    <w:rsid w:val="007A53C2"/>
    <w:rsid w:val="007B5DE7"/>
    <w:rsid w:val="007C0ECD"/>
    <w:rsid w:val="007D442F"/>
    <w:rsid w:val="00800615"/>
    <w:rsid w:val="00804653"/>
    <w:rsid w:val="00811024"/>
    <w:rsid w:val="00841FDF"/>
    <w:rsid w:val="00853BE3"/>
    <w:rsid w:val="00853D95"/>
    <w:rsid w:val="0086033E"/>
    <w:rsid w:val="00866031"/>
    <w:rsid w:val="00873AA2"/>
    <w:rsid w:val="00875183"/>
    <w:rsid w:val="008823CD"/>
    <w:rsid w:val="008A1148"/>
    <w:rsid w:val="008A3FD4"/>
    <w:rsid w:val="008C0777"/>
    <w:rsid w:val="008C2A71"/>
    <w:rsid w:val="008D11C0"/>
    <w:rsid w:val="008D277C"/>
    <w:rsid w:val="008E6810"/>
    <w:rsid w:val="008F0F61"/>
    <w:rsid w:val="008F1B05"/>
    <w:rsid w:val="00907547"/>
    <w:rsid w:val="00924902"/>
    <w:rsid w:val="00924DDA"/>
    <w:rsid w:val="00931190"/>
    <w:rsid w:val="00981F04"/>
    <w:rsid w:val="0098372D"/>
    <w:rsid w:val="009A1B8C"/>
    <w:rsid w:val="009C2702"/>
    <w:rsid w:val="009C422E"/>
    <w:rsid w:val="009D0F98"/>
    <w:rsid w:val="009F25D6"/>
    <w:rsid w:val="009F72D0"/>
    <w:rsid w:val="00A035BC"/>
    <w:rsid w:val="00A13ADC"/>
    <w:rsid w:val="00A2705E"/>
    <w:rsid w:val="00A5311D"/>
    <w:rsid w:val="00A547C1"/>
    <w:rsid w:val="00A5509B"/>
    <w:rsid w:val="00A62E9D"/>
    <w:rsid w:val="00A97670"/>
    <w:rsid w:val="00AB231B"/>
    <w:rsid w:val="00AC180A"/>
    <w:rsid w:val="00AC540C"/>
    <w:rsid w:val="00AD5441"/>
    <w:rsid w:val="00AE2783"/>
    <w:rsid w:val="00AE404E"/>
    <w:rsid w:val="00AF364E"/>
    <w:rsid w:val="00B136B8"/>
    <w:rsid w:val="00B173C2"/>
    <w:rsid w:val="00B20423"/>
    <w:rsid w:val="00B237C7"/>
    <w:rsid w:val="00B26076"/>
    <w:rsid w:val="00B26AB5"/>
    <w:rsid w:val="00B53479"/>
    <w:rsid w:val="00B72AA2"/>
    <w:rsid w:val="00B81E4B"/>
    <w:rsid w:val="00B86928"/>
    <w:rsid w:val="00B90FEA"/>
    <w:rsid w:val="00BA0903"/>
    <w:rsid w:val="00BB615E"/>
    <w:rsid w:val="00BC36C8"/>
    <w:rsid w:val="00BD0002"/>
    <w:rsid w:val="00BD55A0"/>
    <w:rsid w:val="00BD6448"/>
    <w:rsid w:val="00BD7570"/>
    <w:rsid w:val="00BE1F7C"/>
    <w:rsid w:val="00BF39AD"/>
    <w:rsid w:val="00BF5456"/>
    <w:rsid w:val="00BF5939"/>
    <w:rsid w:val="00BF5F01"/>
    <w:rsid w:val="00C07237"/>
    <w:rsid w:val="00C13FAB"/>
    <w:rsid w:val="00C239FA"/>
    <w:rsid w:val="00C4174A"/>
    <w:rsid w:val="00C52C41"/>
    <w:rsid w:val="00C801C6"/>
    <w:rsid w:val="00C80249"/>
    <w:rsid w:val="00C8143B"/>
    <w:rsid w:val="00C87971"/>
    <w:rsid w:val="00C93D3B"/>
    <w:rsid w:val="00C9536E"/>
    <w:rsid w:val="00C960C9"/>
    <w:rsid w:val="00C9714C"/>
    <w:rsid w:val="00CB19D7"/>
    <w:rsid w:val="00CB472B"/>
    <w:rsid w:val="00CB644A"/>
    <w:rsid w:val="00CC1132"/>
    <w:rsid w:val="00CD12A3"/>
    <w:rsid w:val="00CF0526"/>
    <w:rsid w:val="00CF3A53"/>
    <w:rsid w:val="00D32D9B"/>
    <w:rsid w:val="00D3447D"/>
    <w:rsid w:val="00D51539"/>
    <w:rsid w:val="00D55B42"/>
    <w:rsid w:val="00D62642"/>
    <w:rsid w:val="00D74CB7"/>
    <w:rsid w:val="00D97E3F"/>
    <w:rsid w:val="00DA0BC3"/>
    <w:rsid w:val="00DA13E8"/>
    <w:rsid w:val="00DB4749"/>
    <w:rsid w:val="00DB50A9"/>
    <w:rsid w:val="00DF2931"/>
    <w:rsid w:val="00E06D79"/>
    <w:rsid w:val="00E079C5"/>
    <w:rsid w:val="00E34950"/>
    <w:rsid w:val="00E34A76"/>
    <w:rsid w:val="00E41A25"/>
    <w:rsid w:val="00E601DA"/>
    <w:rsid w:val="00E8079B"/>
    <w:rsid w:val="00E85B52"/>
    <w:rsid w:val="00E90B76"/>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75A28"/>
    <w:rsid w:val="00F93E58"/>
    <w:rsid w:val="00FA646D"/>
    <w:rsid w:val="00FB2723"/>
    <w:rsid w:val="00FB2B1D"/>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Yn/ORKpGuZ8zSP8pTtSKg7SM7P4=" w:salt="chKH2QY+Of5F2DlcvSVpS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lv-LV" w:eastAsia="lv-LV" w:bidi="lv-LV"/>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4.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5868</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51</cp:revision>
  <cp:lastPrinted>2023-08-16T15:10:00Z</cp:lastPrinted>
  <dcterms:created xsi:type="dcterms:W3CDTF">2023-08-04T23:30:00Z</dcterms:created>
  <dcterms:modified xsi:type="dcterms:W3CDTF">2023-08-16T15:10:00Z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