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Definição de Utilizador na Área da Educação Qualificado da Microsoft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Os seguintes utilizadores são elegíveis para adquirir produtos Microsoft Academic Edition nos programas listados abaixo (sujeitos a quaisquer requisitos de elegibilidade adicionais que poderão ser aplicáveis a estes programas) e são definidos como utilizadores qualificados na área da educação. A Microsoft reserva-se o direito de rever o estatuto de qualquer cliente ou cliente proposto como utilizador educacional qualificado, e a recusar ou a revogar este estatuto se o cliente ou cliente proposto não conseguir demonstrar e fundamentar claramente à Microsoft, ou para manter o respetivo estatuto, a sua elegibilidade de acordo com os critérios estabelecidos no presente documento.</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UTILIZADORES NA ÁREA DA EDUCAÇÃO QUALIFICADOS:</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Instituição de Ensino</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“Instituição de Ensino” tem a seguinte definição:</w:t>
            </w:r>
          </w:p>
        </w:tc>
        <w:tc>
          <w:tcPr>
            <w:tcW w:w="2430" w:type="dxa"/>
            <w:tcBorders>
              <w:top w:val="double" w:sz="6" w:space="0" w:color="auto"/>
            </w:tcBorders>
          </w:tcPr>
          <w:p w14:paraId="23111200" w14:textId="0F250EE0" w:rsidR="0011556F" w:rsidRPr="00F51FC5" w:rsidRDefault="005A1EE0" w:rsidP="00F51FC5">
            <w:pPr>
              <w:ind w:left="74" w:right="-26"/>
              <w:rPr>
                <w:rFonts w:ascii="Arial" w:hAnsi="Arial" w:cs="Arial"/>
                <w:spacing w:val="-4"/>
                <w:sz w:val="16"/>
                <w:szCs w:val="18"/>
              </w:rPr>
            </w:pPr>
            <w:r w:rsidRPr="00F51FC5">
              <w:rPr>
                <w:rFonts w:ascii="Arial" w:hAnsi="Arial" w:cs="Arial"/>
                <w:spacing w:val="-4"/>
                <w:sz w:val="16"/>
                <w:szCs w:val="18"/>
              </w:rPr>
              <w:t>PROGRAMAS ELEGÍVEIS para Instituições de Ensino (I-II):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79762A25" w:rsidR="005A1EE0" w:rsidRPr="005A149E" w:rsidRDefault="005A1EE0" w:rsidP="00A97670">
            <w:pPr>
              <w:ind w:firstLine="14"/>
              <w:rPr>
                <w:rFonts w:ascii="Arial" w:hAnsi="Arial" w:cs="Arial"/>
                <w:sz w:val="16"/>
                <w:szCs w:val="16"/>
              </w:rPr>
            </w:pPr>
            <w:r>
              <w:rPr>
                <w:rFonts w:ascii="Arial" w:hAnsi="Arial" w:cs="Arial"/>
                <w:sz w:val="16"/>
                <w:szCs w:val="16"/>
              </w:rPr>
              <w:t>uma instituição ou estabelecimento de ensino, seja público ou privado, uma escola básica do primeiro, segundo e terceiro ciclos ou uma escola secundária, uma escola especial para pessoas com deficiência, uma escola profissional, uma</w:t>
            </w:r>
            <w:r w:rsidR="00780026">
              <w:rPr>
                <w:rFonts w:ascii="Arial" w:hAnsi="Arial" w:cs="Arial"/>
                <w:sz w:val="16"/>
                <w:szCs w:val="16"/>
              </w:rPr>
              <w:t> </w:t>
            </w:r>
            <w:r>
              <w:rPr>
                <w:rFonts w:ascii="Arial" w:hAnsi="Arial" w:cs="Arial"/>
                <w:sz w:val="16"/>
                <w:szCs w:val="16"/>
              </w:rPr>
              <w:t>escola por correspondência, uma faculdade de curta duração, uma escola superior, uma universidade, uma escola técnica ou científica, ou uma escola militar ou outro centro de formação gerido por um governo que atribua graus académicos, e que cumpra integralmente os seguintes critérios:</w:t>
            </w:r>
          </w:p>
          <w:p w14:paraId="23BC92E9" w14:textId="5824F328"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Oferece programas de cursos que permitem obter uma certificação que é</w:t>
            </w:r>
            <w:r w:rsidR="00780026">
              <w:rPr>
                <w:rFonts w:ascii="Arial" w:hAnsi="Arial" w:cs="Arial"/>
                <w:sz w:val="16"/>
                <w:szCs w:val="16"/>
              </w:rPr>
              <w:t> </w:t>
            </w:r>
            <w:r>
              <w:rPr>
                <w:rFonts w:ascii="Arial" w:hAnsi="Arial" w:cs="Arial"/>
                <w:sz w:val="16"/>
                <w:szCs w:val="16"/>
              </w:rPr>
              <w:t>reconhecida como parte do percurso educativo geral de um país. (Esta</w:t>
            </w:r>
            <w:r w:rsidR="00780026">
              <w:rPr>
                <w:rFonts w:ascii="Arial" w:hAnsi="Arial" w:cs="Arial"/>
                <w:sz w:val="16"/>
                <w:szCs w:val="16"/>
              </w:rPr>
              <w:t> </w:t>
            </w:r>
            <w:r>
              <w:rPr>
                <w:rFonts w:ascii="Arial" w:hAnsi="Arial" w:cs="Arial"/>
                <w:sz w:val="16"/>
                <w:szCs w:val="16"/>
              </w:rPr>
              <w:t>certificação inclui exemplos como: Diploma Internacional de Estudos Secundários; Certificado Escolar, Diploma de Bacharelato, Diploma; Diploma de Licenciatura; Mestrado; Doutorado); e</w:t>
            </w:r>
          </w:p>
          <w:p w14:paraId="23111203" w14:textId="69CB6B17"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É reconhecido pelo Ministério/Secretaria de Estado da Educação ou por um organismo reconhecido de acreditação académica adequado no país. Na ausência de acreditação direta, terá de haver uma acreditação por representação (ou seja, a certificação oferecida pela escola ou instituição deve ser aceitável para a obtenção de créditos ou a colocação numa instituição de ensino acreditada de forma tradicional a nível local ou no estrangeiro);</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(Tanto para Ensino Básico ou Secundário como para o Pré-escolar e Superior)</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Get Genuine Windows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de Cliente da Microsoft (inclui o CSP)</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Microsoft Online Subscription</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de Produtos e Serviços da Microsoft</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Soluções de Formação (Tanto para Ensino Básico ou Secundário como Pré-escolar e Superior)</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Contrato School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(apenas setor do ensino primário ou secundário)</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Contrato de Licenciamento Services 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6FD58522" w:rsidR="00907547" w:rsidRDefault="00907547" w:rsidP="00A97670">
            <w:pPr>
              <w:rPr>
                <w:rFonts w:ascii="Arial" w:hAnsi="Arial" w:cs="Arial"/>
                <w:sz w:val="16"/>
                <w:szCs w:val="16"/>
              </w:rPr>
            </w:pPr>
            <w:r>
              <w:rPr>
                <w:rFonts w:ascii="Arial" w:hAnsi="Arial" w:cs="Arial"/>
                <w:sz w:val="16"/>
                <w:szCs w:val="16"/>
              </w:rPr>
              <w:t>um jardim de infância que cumpra integralmente os seguintes critérios:</w:t>
            </w:r>
          </w:p>
          <w:p w14:paraId="51B0242F" w14:textId="218DBBE4"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oferece um programa para a primeira infância incorporado com a finalidade de prestar serviços de ensino a crianças entre um e seis anos de idade, e</w:t>
            </w:r>
            <w:r w:rsidR="001A3086">
              <w:rPr>
                <w:rFonts w:ascii="Arial" w:hAnsi="Arial" w:cs="Arial"/>
                <w:sz w:val="16"/>
                <w:szCs w:val="16"/>
              </w:rPr>
              <w:t> </w:t>
            </w:r>
            <w:r>
              <w:rPr>
                <w:rFonts w:ascii="Arial" w:hAnsi="Arial" w:cs="Arial"/>
                <w:sz w:val="16"/>
                <w:szCs w:val="16"/>
              </w:rPr>
              <w:t>a</w:t>
            </w:r>
            <w:r w:rsidR="001A3086">
              <w:rPr>
                <w:rFonts w:ascii="Arial" w:hAnsi="Arial" w:cs="Arial"/>
                <w:sz w:val="16"/>
                <w:szCs w:val="16"/>
              </w:rPr>
              <w:t> </w:t>
            </w:r>
            <w:r>
              <w:rPr>
                <w:rFonts w:ascii="Arial" w:hAnsi="Arial" w:cs="Arial"/>
                <w:sz w:val="16"/>
                <w:szCs w:val="16"/>
              </w:rPr>
              <w:t>um mínimo de dez crianças;</w:t>
            </w:r>
          </w:p>
          <w:p w14:paraId="6D690367" w14:textId="77777777" w:rsidR="00907547" w:rsidRPr="00153DDA" w:rsidRDefault="00907547" w:rsidP="00A97670">
            <w:pPr>
              <w:pStyle w:val="ListParagraph"/>
              <w:numPr>
                <w:ilvl w:val="0"/>
                <w:numId w:val="40"/>
              </w:numPr>
              <w:ind w:left="469" w:hanging="272"/>
              <w:contextualSpacing w:val="0"/>
              <w:rPr>
                <w:rFonts w:ascii="Arial" w:hAnsi="Arial" w:cs="Arial"/>
                <w:spacing w:val="-2"/>
                <w:sz w:val="16"/>
                <w:szCs w:val="16"/>
              </w:rPr>
            </w:pPr>
            <w:r w:rsidRPr="00153DDA">
              <w:rPr>
                <w:rFonts w:ascii="Arial" w:hAnsi="Arial" w:cs="Arial"/>
                <w:spacing w:val="-2"/>
                <w:sz w:val="16"/>
                <w:szCs w:val="16"/>
              </w:rPr>
              <w:t>está estabelecido, autorizado, criado, licenciado, com alvará, registado e/ou acreditado de forma legal pelo Ministério/Secretaria de Estado do Ensino ou por um organismo reconhecido de acreditação adequado no país; e</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está a funcionar há pelo menos um ano;</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FB4195" w:rsidRDefault="005A149E" w:rsidP="00EA7BAF">
            <w:pPr>
              <w:ind w:left="74"/>
              <w:rPr>
                <w:rFonts w:ascii="Arial" w:hAnsi="Arial" w:cs="Arial"/>
                <w:spacing w:val="-4"/>
                <w:sz w:val="16"/>
                <w:szCs w:val="18"/>
              </w:rPr>
            </w:pPr>
            <w:r w:rsidRPr="00FB4195">
              <w:rPr>
                <w:rFonts w:ascii="Arial" w:hAnsi="Arial" w:cs="Arial"/>
                <w:spacing w:val="-4"/>
                <w:sz w:val="16"/>
                <w:szCs w:val="18"/>
              </w:rPr>
              <w:t>PROGRAMAS ELEGÍVEIS para Instituições de Ensino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uma instituição/organização de ensino a tempo inteiro sem fins lucrativos, incluindo as de educação contínua, reconhecida como não académica e/ou não governamental.</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Contrato Get Genuine Windows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Contrato de Cliente da Microsoft (inclui o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Contrato de Produtos e Serviços da Microsoft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Serviços Administrativos de uma Instituição de Ensino</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“Serviços Administrativos de uma Instituição de Ensino” é definido como:</w:t>
            </w:r>
          </w:p>
          <w:p w14:paraId="4B725184" w14:textId="2E70446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serviços administrativos locais, regionais ou nacionais de Instituições de</w:t>
            </w:r>
            <w:r w:rsidR="00025E88">
              <w:rPr>
                <w:rFonts w:ascii="Arial" w:hAnsi="Arial" w:cs="Arial"/>
                <w:color w:val="000000" w:themeColor="text1"/>
                <w:sz w:val="16"/>
                <w:szCs w:val="16"/>
              </w:rPr>
              <w:t> </w:t>
            </w:r>
            <w:r>
              <w:rPr>
                <w:rFonts w:ascii="Arial" w:hAnsi="Arial" w:cs="Arial"/>
                <w:color w:val="000000" w:themeColor="text1"/>
                <w:sz w:val="16"/>
                <w:szCs w:val="16"/>
              </w:rPr>
              <w:t>Ensino públicas;</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entidades administrativas, controladas, geridas e operadas exclusivamente para a administração de Instituições de Ensino privadas; ou</w:t>
            </w:r>
          </w:p>
          <w:p w14:paraId="62AF000B" w14:textId="4873ABC1"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outras entidades públicas nacionais, regionais ou locais cujas atividades consistam quase exclusivamente em apoio administrativo de uma natureza</w:t>
            </w:r>
            <w:r w:rsidR="004B11F4">
              <w:rPr>
                <w:rFonts w:ascii="Arial" w:hAnsi="Arial" w:cs="Arial"/>
                <w:color w:val="000000" w:themeColor="text1"/>
                <w:sz w:val="16"/>
                <w:szCs w:val="16"/>
              </w:rPr>
              <w:t> </w:t>
            </w:r>
            <w:r>
              <w:rPr>
                <w:rFonts w:ascii="Arial" w:hAnsi="Arial" w:cs="Arial"/>
                <w:color w:val="000000" w:themeColor="text1"/>
                <w:sz w:val="16"/>
                <w:szCs w:val="16"/>
              </w:rPr>
              <w:t>que fomente a aprendizagem académica, para Instituições de</w:t>
            </w:r>
            <w:r w:rsidR="004B11F4">
              <w:rPr>
                <w:rFonts w:ascii="Arial" w:hAnsi="Arial" w:cs="Arial"/>
                <w:color w:val="000000" w:themeColor="text1"/>
                <w:sz w:val="16"/>
                <w:szCs w:val="16"/>
              </w:rPr>
              <w:t> </w:t>
            </w:r>
            <w:r>
              <w:rPr>
                <w:rFonts w:ascii="Arial" w:hAnsi="Arial" w:cs="Arial"/>
                <w:color w:val="000000" w:themeColor="text1"/>
                <w:sz w:val="16"/>
                <w:szCs w:val="16"/>
              </w:rPr>
              <w:t>Ensino públicas.</w:t>
            </w:r>
          </w:p>
          <w:p w14:paraId="2311120F" w14:textId="77AF0463" w:rsidR="00296B92" w:rsidRPr="00EB6000" w:rsidRDefault="00873AA2" w:rsidP="00A97670">
            <w:pPr>
              <w:rPr>
                <w:rFonts w:ascii="Arial" w:hAnsi="Arial" w:cs="Arial"/>
                <w:sz w:val="16"/>
                <w:szCs w:val="16"/>
              </w:rPr>
            </w:pPr>
            <w:r>
              <w:rPr>
                <w:rFonts w:ascii="Arial" w:hAnsi="Arial" w:cs="Arial"/>
                <w:sz w:val="16"/>
                <w:szCs w:val="16"/>
              </w:rPr>
              <w:t>Para fins de clareza, só as secções de um escritório distrital/regional cuja única</w:t>
            </w:r>
            <w:r w:rsidR="0095238E">
              <w:rPr>
                <w:rFonts w:ascii="Arial" w:hAnsi="Arial" w:cs="Arial"/>
                <w:sz w:val="16"/>
                <w:szCs w:val="16"/>
              </w:rPr>
              <w:t> </w:t>
            </w:r>
            <w:r>
              <w:rPr>
                <w:rFonts w:ascii="Arial" w:hAnsi="Arial" w:cs="Arial"/>
                <w:sz w:val="16"/>
                <w:szCs w:val="16"/>
              </w:rPr>
              <w:t>função é prestar serviços administrativos e de governança a Instituições de</w:t>
            </w:r>
            <w:r w:rsidR="0095238E">
              <w:rPr>
                <w:rFonts w:ascii="Arial" w:hAnsi="Arial" w:cs="Arial"/>
                <w:sz w:val="16"/>
                <w:szCs w:val="16"/>
              </w:rPr>
              <w:t> </w:t>
            </w:r>
            <w:r>
              <w:rPr>
                <w:rFonts w:ascii="Arial" w:hAnsi="Arial" w:cs="Arial"/>
                <w:sz w:val="16"/>
                <w:szCs w:val="16"/>
              </w:rPr>
              <w:t>Ensino são elegíveis como Cliente da Educação Elegível da Microsoft.</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PROGRAMAS ELEGÍVEIS para os Serviços Administrativos de uma Instituição de Ensino</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070F3736"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Enrollment for Education Solutions (Tanto para Ensino Básico ou Secundário como para o</w:t>
            </w:r>
            <w:r w:rsidR="008D467E">
              <w:rPr>
                <w:rFonts w:ascii="Arial" w:hAnsi="Arial" w:cs="Arial"/>
                <w:sz w:val="16"/>
                <w:szCs w:val="16"/>
              </w:rPr>
              <w:t> </w:t>
            </w:r>
            <w:r>
              <w:rPr>
                <w:rFonts w:ascii="Arial" w:hAnsi="Arial" w:cs="Arial"/>
                <w:sz w:val="16"/>
                <w:szCs w:val="16"/>
              </w:rPr>
              <w:t>Pré-escolar e Superior)</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Get Genuine Windows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de Cliente da Microsoft (inclui o CSP)</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Microsoft Online Subscription</w:t>
            </w:r>
          </w:p>
          <w:p w14:paraId="43EAD960" w14:textId="67A2510E"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de Produtos e</w:t>
            </w:r>
            <w:r w:rsidR="00E10247">
              <w:rPr>
                <w:rFonts w:ascii="Arial" w:hAnsi="Arial" w:cs="Arial"/>
                <w:sz w:val="16"/>
                <w:szCs w:val="16"/>
              </w:rPr>
              <w:t> </w:t>
            </w:r>
            <w:r>
              <w:rPr>
                <w:rFonts w:ascii="Arial" w:hAnsi="Arial" w:cs="Arial"/>
                <w:sz w:val="16"/>
                <w:szCs w:val="16"/>
              </w:rPr>
              <w:t>Serviços da Microsoft</w:t>
            </w:r>
          </w:p>
          <w:p w14:paraId="23111216" w14:textId="65713F46"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Soluções de Formação (Tanto para Ensino Básico ou Secundário como Pré</w:t>
            </w:r>
            <w:r w:rsidR="004C530B">
              <w:rPr>
                <w:rFonts w:ascii="Arial" w:hAnsi="Arial" w:cs="Arial"/>
                <w:sz w:val="16"/>
                <w:szCs w:val="16"/>
              </w:rPr>
              <w:t>­</w:t>
            </w:r>
            <w:r>
              <w:rPr>
                <w:rFonts w:ascii="Arial" w:hAnsi="Arial" w:cs="Arial"/>
                <w:sz w:val="16"/>
                <w:szCs w:val="16"/>
              </w:rPr>
              <w:t>escolar e Superior)</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School (ensino primário e secundário)</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Contrato de Licenciamento Service 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Hospitais, Sistemas de Saúde e Laboratórios de Investigação</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Os hospitais, sistemas de saúde e laboratórios de investigação (ou seja, a entidade que pretende obter uma licença para produtos Microsoft Academic Edition, incluindo laboratórios de investigação independentes ou laboratórios de investigação afiliados a um organismo governamental ou cliente do ensino elegível) não são elegíveis como utilizadores do ensino qualificados por força dos parágrafos A e B supra. São elegíveis apenas para adquirir licenças de produtos Academic Edition se forem totalmente detidos e explorados por uma Instituição de Ensino ou os Serviços Administrativos de uma Instituição de Ensino.</w:t>
      </w:r>
    </w:p>
    <w:p w14:paraId="243285B1" w14:textId="0DD94C13" w:rsidR="00907547" w:rsidRPr="00EA7BAF" w:rsidRDefault="00722505" w:rsidP="00907547">
      <w:pPr>
        <w:spacing w:before="120"/>
        <w:jc w:val="both"/>
        <w:rPr>
          <w:rFonts w:ascii="Arial" w:hAnsi="Arial" w:cs="Arial"/>
          <w:sz w:val="16"/>
          <w:szCs w:val="16"/>
        </w:rPr>
      </w:pPr>
      <w:r>
        <w:rPr>
          <w:rFonts w:ascii="Arial" w:hAnsi="Arial" w:cs="Arial"/>
          <w:sz w:val="16"/>
          <w:szCs w:val="16"/>
        </w:rPr>
        <w:t>“</w:t>
      </w:r>
      <w:r w:rsidR="00907547">
        <w:rPr>
          <w:rFonts w:ascii="Arial" w:hAnsi="Arial" w:cs="Arial"/>
          <w:sz w:val="16"/>
          <w:szCs w:val="16"/>
        </w:rPr>
        <w:t>Totalmente detidos e explorados</w:t>
      </w:r>
      <w:r>
        <w:rPr>
          <w:rFonts w:ascii="Arial" w:hAnsi="Arial" w:cs="Arial"/>
          <w:sz w:val="16"/>
          <w:szCs w:val="16"/>
        </w:rPr>
        <w:t>”</w:t>
      </w:r>
      <w:r w:rsidR="00907547">
        <w:rPr>
          <w:rFonts w:ascii="Arial" w:hAnsi="Arial" w:cs="Arial"/>
          <w:sz w:val="16"/>
          <w:szCs w:val="16"/>
        </w:rPr>
        <w:t xml:space="preserve"> significa que a Instituição de Ensino ou os Serviços Administrativos de um Instituição de Ensino forem o único titular do referido hospital, sistema de saúde ou laboratório de investigação, e a única entidade a exercer controlo sobre as operações diárias da referida instituição.</w:t>
      </w:r>
    </w:p>
    <w:p w14:paraId="7925588F" w14:textId="413F8E4C" w:rsidR="00873AA2" w:rsidRPr="0052338B" w:rsidRDefault="00907547" w:rsidP="00907547">
      <w:pPr>
        <w:spacing w:before="120"/>
        <w:jc w:val="both"/>
        <w:rPr>
          <w:rFonts w:ascii="Arial" w:hAnsi="Arial" w:cs="Arial"/>
          <w:sz w:val="18"/>
        </w:rPr>
      </w:pPr>
      <w:r>
        <w:rPr>
          <w:rFonts w:ascii="Arial" w:hAnsi="Arial" w:cs="Arial"/>
          <w:sz w:val="16"/>
          <w:szCs w:val="16"/>
        </w:rPr>
        <w:t>Os hospitais, sistemas de ensino e laboratórios de investigação elegíveis serão elegíveis para os mesmos “Programas Elegíveis” estabelecidos nas secções A) e B) supra para a Instituição de Ensino ou os Serviços Administrativos de uma Instituição de Ensino dos quais sejam totalmente detidos e explorados (sujeito a quaisquer requisitos de elegibilidade adicionais que poderão ser aplicáveis a estes programas). Em qualquer caso, NÃO têm permissão para fazer aquisições ao abrigo do Contrato School e NÃO têm permissão para serem incluídos num Contrato School da Instituição de Ensino, mesmo que sejam totalmente detidos e explorados pela Instituição de Ensino.</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2AAA" w14:textId="77777777" w:rsidR="007E013E" w:rsidRDefault="007E013E">
      <w:r>
        <w:separator/>
      </w:r>
    </w:p>
  </w:endnote>
  <w:endnote w:type="continuationSeparator" w:id="0">
    <w:p w14:paraId="2B1EF908" w14:textId="77777777" w:rsidR="007E013E" w:rsidRDefault="007E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025E88" w:rsidRPr="00530318" w14:paraId="1F996200" w14:textId="77777777" w:rsidTr="000B55F4">
      <w:trPr>
        <w:jc w:val="center"/>
      </w:trPr>
      <w:tc>
        <w:tcPr>
          <w:tcW w:w="4956" w:type="dxa"/>
        </w:tcPr>
        <w:p w14:paraId="65E4DB12" w14:textId="77777777" w:rsidR="00025E88" w:rsidRPr="00530318" w:rsidRDefault="00025E88" w:rsidP="00025E88">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PTE</w:t>
          </w:r>
          <w:r w:rsidRPr="00530318">
            <w:rPr>
              <w:rFonts w:ascii="Arial" w:hAnsi="Arial" w:cs="Arial"/>
              <w:sz w:val="16"/>
              <w:szCs w:val="16"/>
            </w:rPr>
            <w:t>)(</w:t>
          </w:r>
          <w:r>
            <w:rPr>
              <w:rFonts w:ascii="Arial" w:hAnsi="Arial" w:cs="Arial"/>
              <w:sz w:val="16"/>
              <w:szCs w:val="16"/>
            </w:rPr>
            <w:t>Aug2023)</w:t>
          </w:r>
        </w:p>
      </w:tc>
      <w:tc>
        <w:tcPr>
          <w:tcW w:w="4073" w:type="dxa"/>
        </w:tcPr>
        <w:p w14:paraId="17B52C8A" w14:textId="77777777" w:rsidR="00025E88" w:rsidRDefault="00025E88" w:rsidP="00025E88">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1C7A6C4C" w14:textId="77777777" w:rsidR="00025E88" w:rsidRPr="00530318" w:rsidRDefault="00025E88" w:rsidP="00025E88">
          <w:pPr>
            <w:jc w:val="right"/>
            <w:rPr>
              <w:rFonts w:ascii="Arial" w:hAnsi="Arial" w:cs="Arial"/>
              <w:sz w:val="16"/>
              <w:szCs w:val="16"/>
            </w:rPr>
          </w:pPr>
          <w:r>
            <w:rPr>
              <w:rFonts w:ascii="Arial" w:hAnsi="Arial" w:cs="Arial"/>
              <w:sz w:val="16"/>
              <w:szCs w:val="16"/>
            </w:rPr>
            <w:t>Document X20-11691</w:t>
          </w:r>
        </w:p>
      </w:tc>
    </w:tr>
  </w:tbl>
  <w:p w14:paraId="5A514AED" w14:textId="77777777" w:rsidR="00025E88" w:rsidRPr="004D4BCB" w:rsidRDefault="00025E88" w:rsidP="00025E88">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025E88" w:rsidRPr="00530318" w14:paraId="476645D4" w14:textId="77777777" w:rsidTr="000B55F4">
      <w:trPr>
        <w:jc w:val="center"/>
      </w:trPr>
      <w:tc>
        <w:tcPr>
          <w:tcW w:w="4956" w:type="dxa"/>
        </w:tcPr>
        <w:p w14:paraId="3AEA05DB" w14:textId="0507B496" w:rsidR="00025E88" w:rsidRPr="00530318" w:rsidRDefault="00025E88" w:rsidP="00025E88">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PTE</w:t>
          </w:r>
          <w:r w:rsidRPr="00530318">
            <w:rPr>
              <w:rFonts w:ascii="Arial" w:hAnsi="Arial" w:cs="Arial"/>
              <w:sz w:val="16"/>
              <w:szCs w:val="16"/>
            </w:rPr>
            <w:t>)(</w:t>
          </w:r>
          <w:r>
            <w:rPr>
              <w:rFonts w:ascii="Arial" w:hAnsi="Arial" w:cs="Arial"/>
              <w:sz w:val="16"/>
              <w:szCs w:val="16"/>
            </w:rPr>
            <w:t>Aug2023)</w:t>
          </w:r>
        </w:p>
      </w:tc>
      <w:tc>
        <w:tcPr>
          <w:tcW w:w="4073" w:type="dxa"/>
        </w:tcPr>
        <w:p w14:paraId="3EEF7235" w14:textId="77777777" w:rsidR="00025E88" w:rsidRDefault="00025E88" w:rsidP="00025E88">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02FD3852" w14:textId="77777777" w:rsidR="00025E88" w:rsidRPr="00530318" w:rsidRDefault="00025E88" w:rsidP="00025E88">
          <w:pPr>
            <w:jc w:val="right"/>
            <w:rPr>
              <w:rFonts w:ascii="Arial" w:hAnsi="Arial" w:cs="Arial"/>
              <w:sz w:val="16"/>
              <w:szCs w:val="16"/>
            </w:rPr>
          </w:pPr>
          <w:r>
            <w:rPr>
              <w:rFonts w:ascii="Arial" w:hAnsi="Arial" w:cs="Arial"/>
              <w:sz w:val="16"/>
              <w:szCs w:val="16"/>
            </w:rPr>
            <w:t>Document X20-11691</w:t>
          </w:r>
        </w:p>
      </w:tc>
    </w:tr>
  </w:tbl>
  <w:p w14:paraId="3991BE05" w14:textId="77777777" w:rsidR="00025E88" w:rsidRPr="004D4BCB" w:rsidRDefault="00025E88" w:rsidP="00025E8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9D2B" w14:textId="77777777" w:rsidR="007E013E" w:rsidRDefault="007E013E">
      <w:r>
        <w:separator/>
      </w:r>
    </w:p>
  </w:footnote>
  <w:footnote w:type="continuationSeparator" w:id="0">
    <w:p w14:paraId="362EDD4F" w14:textId="77777777" w:rsidR="007E013E" w:rsidRDefault="007E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25E88"/>
    <w:rsid w:val="00036309"/>
    <w:rsid w:val="00044D04"/>
    <w:rsid w:val="00051E59"/>
    <w:rsid w:val="00054979"/>
    <w:rsid w:val="00062531"/>
    <w:rsid w:val="0006608F"/>
    <w:rsid w:val="00067502"/>
    <w:rsid w:val="00077BC7"/>
    <w:rsid w:val="00082E37"/>
    <w:rsid w:val="00086290"/>
    <w:rsid w:val="00090B9A"/>
    <w:rsid w:val="00091D42"/>
    <w:rsid w:val="000A4937"/>
    <w:rsid w:val="000A66FF"/>
    <w:rsid w:val="000A6714"/>
    <w:rsid w:val="000B30B0"/>
    <w:rsid w:val="000B656F"/>
    <w:rsid w:val="000B6EB0"/>
    <w:rsid w:val="000C4276"/>
    <w:rsid w:val="000D0CD0"/>
    <w:rsid w:val="000E0547"/>
    <w:rsid w:val="000E35C0"/>
    <w:rsid w:val="000F4B83"/>
    <w:rsid w:val="001131DE"/>
    <w:rsid w:val="00114544"/>
    <w:rsid w:val="0011556F"/>
    <w:rsid w:val="00123BDA"/>
    <w:rsid w:val="00132643"/>
    <w:rsid w:val="00153DDA"/>
    <w:rsid w:val="00156924"/>
    <w:rsid w:val="00192DCC"/>
    <w:rsid w:val="0019381D"/>
    <w:rsid w:val="001A13E8"/>
    <w:rsid w:val="001A2EC4"/>
    <w:rsid w:val="001A3086"/>
    <w:rsid w:val="001A3F80"/>
    <w:rsid w:val="001A4FA5"/>
    <w:rsid w:val="001C3519"/>
    <w:rsid w:val="001C7554"/>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12870"/>
    <w:rsid w:val="00325618"/>
    <w:rsid w:val="00350050"/>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96993"/>
    <w:rsid w:val="004B11F4"/>
    <w:rsid w:val="004B1B16"/>
    <w:rsid w:val="004B250A"/>
    <w:rsid w:val="004B35D1"/>
    <w:rsid w:val="004C530B"/>
    <w:rsid w:val="004C5FF1"/>
    <w:rsid w:val="004D3B16"/>
    <w:rsid w:val="004D4BCB"/>
    <w:rsid w:val="004F2A73"/>
    <w:rsid w:val="005046C9"/>
    <w:rsid w:val="00507C4A"/>
    <w:rsid w:val="005103CB"/>
    <w:rsid w:val="00513063"/>
    <w:rsid w:val="0052338B"/>
    <w:rsid w:val="0053246A"/>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0A38"/>
    <w:rsid w:val="006B1921"/>
    <w:rsid w:val="006C0007"/>
    <w:rsid w:val="006C6FE4"/>
    <w:rsid w:val="006D4167"/>
    <w:rsid w:val="006D63D8"/>
    <w:rsid w:val="006E34D4"/>
    <w:rsid w:val="006E7E85"/>
    <w:rsid w:val="006F0006"/>
    <w:rsid w:val="006F538E"/>
    <w:rsid w:val="007119E9"/>
    <w:rsid w:val="00714698"/>
    <w:rsid w:val="00716D88"/>
    <w:rsid w:val="00722505"/>
    <w:rsid w:val="00726AC7"/>
    <w:rsid w:val="007319DA"/>
    <w:rsid w:val="007404EE"/>
    <w:rsid w:val="0074465A"/>
    <w:rsid w:val="0074598A"/>
    <w:rsid w:val="00752B77"/>
    <w:rsid w:val="00754C7B"/>
    <w:rsid w:val="0075650B"/>
    <w:rsid w:val="00757664"/>
    <w:rsid w:val="00762A46"/>
    <w:rsid w:val="007717A3"/>
    <w:rsid w:val="0077680B"/>
    <w:rsid w:val="00780026"/>
    <w:rsid w:val="00781EFE"/>
    <w:rsid w:val="007A53C2"/>
    <w:rsid w:val="007B5DE7"/>
    <w:rsid w:val="007C0ECD"/>
    <w:rsid w:val="007D442F"/>
    <w:rsid w:val="007E013E"/>
    <w:rsid w:val="00800615"/>
    <w:rsid w:val="00804653"/>
    <w:rsid w:val="00811024"/>
    <w:rsid w:val="00841FDF"/>
    <w:rsid w:val="00853BE3"/>
    <w:rsid w:val="00853D95"/>
    <w:rsid w:val="0086033E"/>
    <w:rsid w:val="0086500C"/>
    <w:rsid w:val="00866031"/>
    <w:rsid w:val="00873AA2"/>
    <w:rsid w:val="00875183"/>
    <w:rsid w:val="008823CD"/>
    <w:rsid w:val="008A1148"/>
    <w:rsid w:val="008A3FD4"/>
    <w:rsid w:val="008C0777"/>
    <w:rsid w:val="008C2A71"/>
    <w:rsid w:val="008D11C0"/>
    <w:rsid w:val="008D277C"/>
    <w:rsid w:val="008D467E"/>
    <w:rsid w:val="008E6810"/>
    <w:rsid w:val="008F0F61"/>
    <w:rsid w:val="00907109"/>
    <w:rsid w:val="00907547"/>
    <w:rsid w:val="00924902"/>
    <w:rsid w:val="00924DDA"/>
    <w:rsid w:val="00931190"/>
    <w:rsid w:val="0095238E"/>
    <w:rsid w:val="00981F04"/>
    <w:rsid w:val="0098372D"/>
    <w:rsid w:val="009A1B8C"/>
    <w:rsid w:val="009C2702"/>
    <w:rsid w:val="009C422E"/>
    <w:rsid w:val="009D0F98"/>
    <w:rsid w:val="009F25D6"/>
    <w:rsid w:val="009F72D0"/>
    <w:rsid w:val="00A035BC"/>
    <w:rsid w:val="00A13ADC"/>
    <w:rsid w:val="00A2705E"/>
    <w:rsid w:val="00A5311D"/>
    <w:rsid w:val="00A5509B"/>
    <w:rsid w:val="00A62E9D"/>
    <w:rsid w:val="00A97670"/>
    <w:rsid w:val="00AB231B"/>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11F4"/>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801C6"/>
    <w:rsid w:val="00C80249"/>
    <w:rsid w:val="00C8143B"/>
    <w:rsid w:val="00C861C1"/>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56A26"/>
    <w:rsid w:val="00D62642"/>
    <w:rsid w:val="00D74CB7"/>
    <w:rsid w:val="00DA0BC3"/>
    <w:rsid w:val="00DA13E8"/>
    <w:rsid w:val="00DB4749"/>
    <w:rsid w:val="00DB50A9"/>
    <w:rsid w:val="00DF2931"/>
    <w:rsid w:val="00E06D79"/>
    <w:rsid w:val="00E079C5"/>
    <w:rsid w:val="00E10247"/>
    <w:rsid w:val="00E10964"/>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1FC5"/>
    <w:rsid w:val="00F56948"/>
    <w:rsid w:val="00F651D6"/>
    <w:rsid w:val="00F75A28"/>
    <w:rsid w:val="00F93E58"/>
    <w:rsid w:val="00FA646D"/>
    <w:rsid w:val="00FA684B"/>
    <w:rsid w:val="00FB2723"/>
    <w:rsid w:val="00FB2B1D"/>
    <w:rsid w:val="00FB4195"/>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7RE4I4a1lD++hBi5mXa6EytnQn8=" w:salt="NetjBqg4MnGsYWbPR9apq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PT" w:eastAsia="pt-PT" w:bidi="pt-PT"/>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2</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6727</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41</cp:revision>
  <cp:lastPrinted>2023-08-16T15:52:00Z</cp:lastPrinted>
  <dcterms:created xsi:type="dcterms:W3CDTF">2023-08-04T23:30:00Z</dcterms:created>
  <dcterms:modified xsi:type="dcterms:W3CDTF">2023-08-16T15:52:00Z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