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Definiția Utilizatorului educațional calificat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Utilizatorii din categoriile următoare sunt eligibili să achiziționeze produsele din ediția Microsoft Academic Edition în cadrul programelor menționate mai jos (sub rezerva oricăror cerințe de eligibilitate suplimentare care se pot aplica în cazul unor astfel de programe) și sunt definiți drept utilizatori educaționali calificați. Microsoft își rezervă dreptul de a revizui statutul oricărui client sau al oricărui client propus ca utilizator educațional calificat și de a refuza sau de a revoca un astfel de statut în cazul în care clientul sau clientul propus nu reușește să demonstreze și să confirme în mod clar companiei Microsoft eligibilitatea sa în conformitate cu criteriile stabilite în acest document sau să-și mențină statutul.</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UTILIZATORI EDUCAȚIONALI CALIFICAȚI:</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Instituție de învățământ</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Prin „Instituție de învățământ”, se înțelege:</w:t>
            </w:r>
          </w:p>
        </w:tc>
        <w:tc>
          <w:tcPr>
            <w:tcW w:w="2430" w:type="dxa"/>
            <w:tcBorders>
              <w:top w:val="double" w:sz="6" w:space="0" w:color="auto"/>
            </w:tcBorders>
          </w:tcPr>
          <w:p w14:paraId="23111200" w14:textId="0F250EE0" w:rsidR="0011556F" w:rsidRPr="005A149E" w:rsidRDefault="005A1EE0" w:rsidP="00EA7BAF">
            <w:pPr>
              <w:ind w:left="74"/>
              <w:rPr>
                <w:rFonts w:ascii="Arial" w:hAnsi="Arial" w:cs="Arial"/>
                <w:sz w:val="16"/>
                <w:szCs w:val="18"/>
              </w:rPr>
            </w:pPr>
            <w:r>
              <w:rPr>
                <w:rFonts w:ascii="Arial" w:hAnsi="Arial" w:cs="Arial"/>
                <w:sz w:val="16"/>
                <w:szCs w:val="18"/>
              </w:rPr>
              <w:t>PROGRAMELE ELIGIBILE pentru Instituțiile educaționale (I-II):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23B575EE" w:rsidR="005A1EE0" w:rsidRPr="005A149E" w:rsidRDefault="005A1EE0" w:rsidP="00A97670">
            <w:pPr>
              <w:ind w:firstLine="14"/>
              <w:rPr>
                <w:rFonts w:ascii="Arial" w:hAnsi="Arial" w:cs="Arial"/>
                <w:sz w:val="16"/>
                <w:szCs w:val="16"/>
              </w:rPr>
            </w:pPr>
            <w:r>
              <w:rPr>
                <w:rFonts w:ascii="Arial" w:hAnsi="Arial" w:cs="Arial"/>
                <w:sz w:val="16"/>
                <w:szCs w:val="16"/>
              </w:rPr>
              <w:t>orice instituție sau unitate de învățământ, fie ea școală publică sau privată, elementară, primară, gimnazială sau liceu, școală specială pentru persoanele cu</w:t>
            </w:r>
            <w:r w:rsidR="001839FC">
              <w:rPr>
                <w:rFonts w:ascii="Arial" w:hAnsi="Arial" w:cs="Arial"/>
                <w:sz w:val="16"/>
                <w:szCs w:val="16"/>
              </w:rPr>
              <w:t> </w:t>
            </w:r>
            <w:r>
              <w:rPr>
                <w:rFonts w:ascii="Arial" w:hAnsi="Arial" w:cs="Arial"/>
                <w:sz w:val="16"/>
                <w:szCs w:val="16"/>
              </w:rPr>
              <w:t>dizabilități, școală profesională, școală prin corespondență, școală postliceală, colegiu, universitate, școală cu profil științific sau tehnic sau orice școală militară sau alt centru de pregătire controlat de un guvern care acordă diplome, care îndeplinește toate criteriile următoare:</w:t>
            </w:r>
          </w:p>
          <w:p w14:paraId="23BC92E9" w14:textId="264C5B58"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oferă cursuri, în urma cărora se poate elibera o certificare recunoscută ca</w:t>
            </w:r>
            <w:r w:rsidR="001839FC">
              <w:rPr>
                <w:rFonts w:ascii="Arial" w:hAnsi="Arial" w:cs="Arial"/>
                <w:sz w:val="16"/>
                <w:szCs w:val="16"/>
              </w:rPr>
              <w:t> </w:t>
            </w:r>
            <w:r>
              <w:rPr>
                <w:rFonts w:ascii="Arial" w:hAnsi="Arial" w:cs="Arial"/>
                <w:sz w:val="16"/>
                <w:szCs w:val="16"/>
              </w:rPr>
              <w:t>parte a unui progres educațional normal al unei țări. (Printre exemplele unor astfel de certificări se numără următoarele: diploma de bacalaureat; certificatul de absolvire a douăsprezece clase; diploma de absolvire a școlii postliceale; diploma de absolvire; diploma de licență; diploma de masterat; diploma de doctor și</w:t>
            </w:r>
          </w:p>
          <w:p w14:paraId="23111203" w14:textId="067E44D1"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este acreditat de către Ministerul educației sau de către agenția de acreditare educațională din țara respectivă. În lipsa unei acreditări directe, trebuie să existe posibilitatea de acreditare prin intermediul unui delegat (de exemplu, certificatul oferit de școala sau de instituția respectivă trebuie să fie valabil sau acceptabil la nivelul unei instituții de învățământ locale sau din străinătate, acreditată în mod tradițional);</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522910E0"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Înscrierea Enrollment for Education Solutions (atât pentru învățământul de la</w:t>
            </w:r>
            <w:r w:rsidR="00633755">
              <w:rPr>
                <w:rFonts w:ascii="Arial" w:hAnsi="Arial" w:cs="Arial"/>
                <w:sz w:val="16"/>
                <w:szCs w:val="16"/>
              </w:rPr>
              <w:t> </w:t>
            </w:r>
            <w:r>
              <w:rPr>
                <w:rFonts w:ascii="Arial" w:hAnsi="Arial" w:cs="Arial"/>
                <w:sz w:val="16"/>
                <w:szCs w:val="16"/>
              </w:rPr>
              <w:t>grădiniță până la liceu, cât</w:t>
            </w:r>
            <w:r w:rsidR="00633755">
              <w:rPr>
                <w:rFonts w:ascii="Arial" w:hAnsi="Arial" w:cs="Arial"/>
                <w:sz w:val="16"/>
                <w:szCs w:val="16"/>
              </w:rPr>
              <w:t> </w:t>
            </w:r>
            <w:r>
              <w:rPr>
                <w:rFonts w:ascii="Arial" w:hAnsi="Arial" w:cs="Arial"/>
                <w:sz w:val="16"/>
                <w:szCs w:val="16"/>
              </w:rPr>
              <w:t>și</w:t>
            </w:r>
            <w:r w:rsidR="001B079A">
              <w:rPr>
                <w:rFonts w:ascii="Arial" w:hAnsi="Arial" w:cs="Arial"/>
                <w:sz w:val="16"/>
                <w:szCs w:val="16"/>
              </w:rPr>
              <w:t> </w:t>
            </w:r>
            <w:r>
              <w:rPr>
                <w:rFonts w:ascii="Arial" w:hAnsi="Arial" w:cs="Arial"/>
                <w:sz w:val="16"/>
                <w:szCs w:val="16"/>
              </w:rPr>
              <w:t>pentru învățământul superior)</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Get Genuine Windows – Academic</w:t>
            </w:r>
          </w:p>
          <w:p w14:paraId="3F3E42DC" w14:textId="4DBADCED"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dintre Microsoft și</w:t>
            </w:r>
            <w:r w:rsidR="00190623">
              <w:rPr>
                <w:rFonts w:ascii="Arial" w:hAnsi="Arial" w:cs="Arial"/>
                <w:sz w:val="16"/>
                <w:szCs w:val="16"/>
              </w:rPr>
              <w:t> </w:t>
            </w:r>
            <w:r>
              <w:rPr>
                <w:rFonts w:ascii="Arial" w:hAnsi="Arial" w:cs="Arial"/>
                <w:sz w:val="16"/>
                <w:szCs w:val="16"/>
              </w:rPr>
              <w:t>Client (include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de abonament Microsoft Online</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Microsoft Products and Services</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Soluții destinate mediului educațional (atât pentru învățământul de la grădiniță până la liceu, cât și pentru învățământul superior)</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Contractul School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(doar pentru învățământul gimnazial sau liceal)</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Contractul de licență Services 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0DB9F26A" w:rsidR="00907547" w:rsidRDefault="00907547" w:rsidP="00A97670">
            <w:pPr>
              <w:rPr>
                <w:rFonts w:ascii="Arial" w:hAnsi="Arial" w:cs="Arial"/>
                <w:sz w:val="16"/>
                <w:szCs w:val="16"/>
              </w:rPr>
            </w:pPr>
            <w:r>
              <w:rPr>
                <w:rFonts w:ascii="Arial" w:hAnsi="Arial" w:cs="Arial"/>
                <w:sz w:val="16"/>
                <w:szCs w:val="16"/>
              </w:rPr>
              <w:t>un centru destinat învățământului preșcolar, care îndeplinește toate criteriile următoare:</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este un program pentru preșcolari, integrat în vederea furnizării de servicii educaționale copiilor cu vârste cuprinse între unu și șase ani și care deservește cel puțin zece astfel de copii; </w:t>
            </w:r>
          </w:p>
          <w:p w14:paraId="6D690367" w14:textId="5953E9F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este înființat, autorizat, creat, licențiat, recunoscut, înregistrat și/sau acreditat în mod legal de către Ministerul educației sau de către agenția de</w:t>
            </w:r>
            <w:r w:rsidR="006605A0">
              <w:rPr>
                <w:rFonts w:ascii="Arial" w:hAnsi="Arial" w:cs="Arial"/>
                <w:sz w:val="16"/>
                <w:szCs w:val="16"/>
              </w:rPr>
              <w:t> </w:t>
            </w:r>
            <w:r>
              <w:rPr>
                <w:rFonts w:ascii="Arial" w:hAnsi="Arial" w:cs="Arial"/>
                <w:sz w:val="16"/>
                <w:szCs w:val="16"/>
              </w:rPr>
              <w:t>acreditare din țara respectivă și</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este în funcțiune timp de cel puțin un an;</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5EB3F3A0" w14:textId="77777777" w:rsidR="005A149E" w:rsidRDefault="005A149E" w:rsidP="00EA7BAF">
            <w:pPr>
              <w:ind w:left="74"/>
              <w:rPr>
                <w:rFonts w:ascii="Arial" w:hAnsi="Arial" w:cs="Arial"/>
                <w:sz w:val="16"/>
                <w:szCs w:val="18"/>
              </w:rPr>
            </w:pPr>
            <w:r>
              <w:rPr>
                <w:rFonts w:ascii="Arial" w:hAnsi="Arial" w:cs="Arial"/>
                <w:sz w:val="16"/>
                <w:szCs w:val="18"/>
              </w:rPr>
              <w:t>PROGRAMELE ELIGIBILE pentru Instituțiile educaționale</w:t>
            </w:r>
            <w:r w:rsidR="00575088">
              <w:rPr>
                <w:rFonts w:ascii="Arial" w:hAnsi="Arial" w:cs="Arial"/>
                <w:sz w:val="16"/>
                <w:szCs w:val="18"/>
              </w:rPr>
              <w:t> </w:t>
            </w:r>
            <w:r>
              <w:rPr>
                <w:rFonts w:ascii="Arial" w:hAnsi="Arial" w:cs="Arial"/>
                <w:sz w:val="16"/>
                <w:szCs w:val="18"/>
              </w:rPr>
              <w:t>(III)</w:t>
            </w:r>
          </w:p>
          <w:p w14:paraId="38BA1160" w14:textId="4D3E00DD" w:rsidR="00575088" w:rsidRPr="005A149E" w:rsidRDefault="00575088"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o instituție/organizație non-profit cu cursuri la zi, care include educația continuă, fără recunoaștere la nivel academic sau de stat.</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Contractul Get Genuine Windows – Academic</w:t>
            </w:r>
          </w:p>
          <w:p w14:paraId="68639FF7" w14:textId="2E583BC9"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Contractul dintre Microsoft și</w:t>
            </w:r>
            <w:r w:rsidR="008D7B50">
              <w:rPr>
                <w:rFonts w:ascii="Arial" w:hAnsi="Arial" w:cs="Arial"/>
                <w:sz w:val="16"/>
              </w:rPr>
              <w:t> </w:t>
            </w:r>
            <w:r>
              <w:rPr>
                <w:rFonts w:ascii="Arial" w:hAnsi="Arial" w:cs="Arial"/>
                <w:sz w:val="16"/>
              </w:rPr>
              <w:t>Client (include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Contractul Microsoft Products and Services</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Birourile administrative ale unei Instituții de învățământ</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Prin „Birourile administrative ale unei Instituții de învățământ”, se înțelege:</w:t>
            </w:r>
          </w:p>
          <w:p w14:paraId="4B725184" w14:textId="29F027B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orice birou administrativ local, regional sau național al unei Instituții de</w:t>
            </w:r>
            <w:r w:rsidR="00236477">
              <w:rPr>
                <w:rFonts w:ascii="Arial" w:hAnsi="Arial" w:cs="Arial"/>
                <w:color w:val="000000" w:themeColor="text1"/>
                <w:sz w:val="16"/>
                <w:szCs w:val="16"/>
              </w:rPr>
              <w:t> </w:t>
            </w:r>
            <w:r>
              <w:rPr>
                <w:rFonts w:ascii="Arial" w:hAnsi="Arial" w:cs="Arial"/>
                <w:color w:val="000000" w:themeColor="text1"/>
                <w:sz w:val="16"/>
                <w:szCs w:val="16"/>
              </w:rPr>
              <w:t>învățământ public;</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orice entitate administrativă, controlată, organizată și operată exclusiv pentru administrarea Instituțiilor de învățământ privat sau</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orice alte entități ale administrației naționale, regionale sau locale, în fiecare caz, aproape toate activitățile acestora constând în sprijin administrativ care încurajează studiile universitare, pentru Instituțiile de învățământ public.</w:t>
            </w:r>
          </w:p>
          <w:p w14:paraId="2311120F" w14:textId="5C38213A" w:rsidR="00296B92" w:rsidRPr="00EB6000" w:rsidRDefault="00873AA2" w:rsidP="00A97670">
            <w:pPr>
              <w:rPr>
                <w:rFonts w:ascii="Arial" w:hAnsi="Arial" w:cs="Arial"/>
                <w:sz w:val="16"/>
                <w:szCs w:val="16"/>
              </w:rPr>
            </w:pPr>
            <w:r>
              <w:rPr>
                <w:rFonts w:ascii="Arial" w:hAnsi="Arial" w:cs="Arial"/>
                <w:sz w:val="16"/>
                <w:szCs w:val="16"/>
              </w:rPr>
              <w:t>Pentru evitarea oricăror îndoieli, doar acele sectoare de la nivelul unui birou districtual/regional, a căror unică funcție este de a furniza servicii administrative și</w:t>
            </w:r>
            <w:r w:rsidR="00D37579">
              <w:rPr>
                <w:rFonts w:ascii="Arial" w:hAnsi="Arial" w:cs="Arial"/>
                <w:sz w:val="16"/>
                <w:szCs w:val="16"/>
              </w:rPr>
              <w:t> </w:t>
            </w:r>
            <w:r>
              <w:rPr>
                <w:rFonts w:ascii="Arial" w:hAnsi="Arial" w:cs="Arial"/>
                <w:sz w:val="16"/>
                <w:szCs w:val="16"/>
              </w:rPr>
              <w:t>de guvernare Instituțiilor de învățământ, se califică drept clienți Microsoft eligibili</w:t>
            </w:r>
            <w:r w:rsidR="00D37579">
              <w:rPr>
                <w:rFonts w:ascii="Arial" w:hAnsi="Arial" w:cs="Arial"/>
                <w:sz w:val="16"/>
                <w:szCs w:val="16"/>
              </w:rPr>
              <w:t> </w:t>
            </w:r>
            <w:r>
              <w:rPr>
                <w:rFonts w:ascii="Arial" w:hAnsi="Arial" w:cs="Arial"/>
                <w:sz w:val="16"/>
                <w:szCs w:val="16"/>
              </w:rPr>
              <w:t>în domeniul educației.</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PROGRAMELE ELIGIBILE pentru Birourile administrative ale unei Instituții de învățământ</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791EE9DA"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Înscrierea Enrollment for Education Solutions (atât</w:t>
            </w:r>
            <w:r w:rsidR="009F6E28">
              <w:rPr>
                <w:rFonts w:ascii="Arial" w:hAnsi="Arial" w:cs="Arial"/>
                <w:sz w:val="16"/>
                <w:szCs w:val="16"/>
              </w:rPr>
              <w:t> </w:t>
            </w:r>
            <w:r>
              <w:rPr>
                <w:rFonts w:ascii="Arial" w:hAnsi="Arial" w:cs="Arial"/>
                <w:sz w:val="16"/>
                <w:szCs w:val="16"/>
              </w:rPr>
              <w:t>pentru învățământul de</w:t>
            </w:r>
            <w:r w:rsidR="009F6E28">
              <w:rPr>
                <w:rFonts w:ascii="Arial" w:hAnsi="Arial" w:cs="Arial"/>
                <w:sz w:val="16"/>
                <w:szCs w:val="16"/>
              </w:rPr>
              <w:t> </w:t>
            </w:r>
            <w:r>
              <w:rPr>
                <w:rFonts w:ascii="Arial" w:hAnsi="Arial" w:cs="Arial"/>
                <w:sz w:val="16"/>
                <w:szCs w:val="16"/>
              </w:rPr>
              <w:t>la grădiniță până la liceu, cât și pentru învățământul superior)</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Get Genuine Windows – Academic</w:t>
            </w:r>
          </w:p>
          <w:p w14:paraId="2DBE0E5C" w14:textId="582333DD"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dintre Microsoft și</w:t>
            </w:r>
            <w:r w:rsidR="0021375F">
              <w:rPr>
                <w:rFonts w:ascii="Arial" w:hAnsi="Arial" w:cs="Arial"/>
                <w:sz w:val="16"/>
                <w:szCs w:val="16"/>
              </w:rPr>
              <w:t> </w:t>
            </w:r>
            <w:r>
              <w:rPr>
                <w:rFonts w:ascii="Arial" w:hAnsi="Arial" w:cs="Arial"/>
                <w:sz w:val="16"/>
                <w:szCs w:val="16"/>
              </w:rPr>
              <w:t>Client (include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de abonament Microsoft Online</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Microsoft Products and Services</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Soluții destinate mediului educațional (atât pentru învățământul de la grădiniță până la liceu, cât și pentru învățământul superior)</w:t>
            </w:r>
          </w:p>
          <w:p w14:paraId="729247AD" w14:textId="4D06D51F"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School (învățământul gimnazial și</w:t>
            </w:r>
            <w:r w:rsidR="0018100A">
              <w:rPr>
                <w:rFonts w:ascii="Arial" w:hAnsi="Arial" w:cs="Arial"/>
                <w:sz w:val="16"/>
                <w:szCs w:val="16"/>
              </w:rPr>
              <w:t> </w:t>
            </w:r>
            <w:r>
              <w:rPr>
                <w:rFonts w:ascii="Arial" w:hAnsi="Arial" w:cs="Arial"/>
                <w:sz w:val="16"/>
                <w:szCs w:val="16"/>
              </w:rPr>
              <w:t>liceal)</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Contractul de licență Services 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Spitalele, sistemele de sănătate și laboratoarele de cercetare</w:t>
      </w:r>
    </w:p>
    <w:p w14:paraId="18AF9D4E" w14:textId="774CBBD0" w:rsidR="00907547" w:rsidRPr="00EA7BAF" w:rsidRDefault="00907547" w:rsidP="00907547">
      <w:pPr>
        <w:spacing w:before="120"/>
        <w:jc w:val="both"/>
        <w:rPr>
          <w:rFonts w:ascii="Arial" w:hAnsi="Arial" w:cs="Arial"/>
          <w:sz w:val="16"/>
          <w:szCs w:val="16"/>
        </w:rPr>
      </w:pPr>
      <w:r>
        <w:rPr>
          <w:rFonts w:ascii="Arial" w:hAnsi="Arial" w:cs="Arial"/>
          <w:sz w:val="16"/>
          <w:szCs w:val="16"/>
        </w:rPr>
        <w:t>Spitalele, sistemele de sănătate și laboratoarele de cercetare (adică entitatea care încearcă să licențieze produsele din ediția Microsoft Academic Edition; inclusiv laboratoarele de cercetare independente sau laboratoarele de cercetare afiliate unui client eligibil în domeniul educației sau unei agenții guvernamentale) nu se califică drept utilizatori educaționali eligibili în conformitate cu alineatele A și B de mai sus. Acestea sunt eligibile să achiziționeze licențe pentru produsele din ediția Academic Edition numai dacă sunt deținute și controlate în întregime de o Instituție de învățământ sau de un Birou administrativ al unei Instituții de</w:t>
      </w:r>
      <w:r w:rsidR="00946A29">
        <w:rPr>
          <w:rFonts w:ascii="Arial" w:hAnsi="Arial" w:cs="Arial"/>
          <w:sz w:val="16"/>
          <w:szCs w:val="16"/>
        </w:rPr>
        <w:t> </w:t>
      </w:r>
      <w:r>
        <w:rPr>
          <w:rFonts w:ascii="Arial" w:hAnsi="Arial" w:cs="Arial"/>
          <w:sz w:val="16"/>
          <w:szCs w:val="16"/>
        </w:rPr>
        <w:t>învățământ.</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„Deținute și controlate în întregime” înseamnă că Instituția de învățământ sau Biroul administrativ al unei Instituții de învățământ este proprietarul unic al spitalului, al sistemului de sănătate sau al laboratorului de cercetare respectiv și singura entitate care exercită control asupra operațiilor zilnice ale instituției menționate.</w:t>
      </w:r>
    </w:p>
    <w:p w14:paraId="7925588F" w14:textId="413F8E4C" w:rsidR="00873AA2" w:rsidRPr="0052338B" w:rsidRDefault="00907547" w:rsidP="00907547">
      <w:pPr>
        <w:spacing w:before="120"/>
        <w:jc w:val="both"/>
        <w:rPr>
          <w:rFonts w:ascii="Arial" w:hAnsi="Arial" w:cs="Arial"/>
          <w:sz w:val="18"/>
        </w:rPr>
      </w:pPr>
      <w:r>
        <w:rPr>
          <w:rFonts w:ascii="Arial" w:hAnsi="Arial" w:cs="Arial"/>
          <w:sz w:val="16"/>
          <w:szCs w:val="16"/>
        </w:rPr>
        <w:t>Spitalele, sistemele de sănătate și laboratoarele de cercetare eligibile vor fi eligibile pentru aceleași „Programe eligibile” stabilite la paragrafele A) și B) de mai sus pentru Instituția de învățământ sau Biroul administrativ al unei Instituții de învățământ, de către care acestea sunt deținute și controlate în întregime (sub rezerva oricăror cerințe de eligibilitate suplimentare care se pot aplica în cazul unor astfel de programe). În orice situație, acestea NU pot face achiziții în temeiul Contractului School și NU pot face parte din Contractul School al unei Instituții de învățământ, chiar dacă sunt deținute și controlate în întregime de Instituția de învățământ.</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8381" w14:textId="77777777" w:rsidR="000F450A" w:rsidRDefault="000F450A">
      <w:r>
        <w:separator/>
      </w:r>
    </w:p>
  </w:endnote>
  <w:endnote w:type="continuationSeparator" w:id="0">
    <w:p w14:paraId="4A3E1CC0" w14:textId="77777777" w:rsidR="000F450A" w:rsidRDefault="000F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F724E0" w:rsidRPr="00530318" w14:paraId="21242753" w14:textId="77777777" w:rsidTr="000B55F4">
      <w:trPr>
        <w:jc w:val="center"/>
      </w:trPr>
      <w:tc>
        <w:tcPr>
          <w:tcW w:w="4956" w:type="dxa"/>
        </w:tcPr>
        <w:p w14:paraId="376AB8C3" w14:textId="77777777" w:rsidR="00F724E0" w:rsidRPr="00530318" w:rsidRDefault="00F724E0" w:rsidP="00F724E0">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RON</w:t>
          </w:r>
          <w:r w:rsidRPr="00530318">
            <w:rPr>
              <w:rFonts w:ascii="Arial" w:hAnsi="Arial" w:cs="Arial"/>
              <w:sz w:val="16"/>
              <w:szCs w:val="16"/>
            </w:rPr>
            <w:t>)(</w:t>
          </w:r>
          <w:r>
            <w:rPr>
              <w:rFonts w:ascii="Arial" w:hAnsi="Arial" w:cs="Arial"/>
              <w:sz w:val="16"/>
              <w:szCs w:val="16"/>
            </w:rPr>
            <w:t>Aug2023)</w:t>
          </w:r>
        </w:p>
      </w:tc>
      <w:tc>
        <w:tcPr>
          <w:tcW w:w="4073" w:type="dxa"/>
        </w:tcPr>
        <w:p w14:paraId="143ED0C2" w14:textId="77777777" w:rsidR="00F724E0" w:rsidRDefault="00F724E0" w:rsidP="00F724E0">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48DB53A1" w14:textId="77777777" w:rsidR="00F724E0" w:rsidRPr="00530318" w:rsidRDefault="00F724E0" w:rsidP="00F724E0">
          <w:pPr>
            <w:jc w:val="right"/>
            <w:rPr>
              <w:rFonts w:ascii="Arial" w:hAnsi="Arial" w:cs="Arial"/>
              <w:sz w:val="16"/>
              <w:szCs w:val="16"/>
            </w:rPr>
          </w:pPr>
          <w:r>
            <w:rPr>
              <w:rFonts w:ascii="Arial" w:hAnsi="Arial" w:cs="Arial"/>
              <w:sz w:val="16"/>
              <w:szCs w:val="16"/>
            </w:rPr>
            <w:t>Document X20-11691</w:t>
          </w:r>
        </w:p>
      </w:tc>
    </w:tr>
  </w:tbl>
  <w:p w14:paraId="03055AD8" w14:textId="77777777" w:rsidR="00F724E0" w:rsidRPr="004D4BCB" w:rsidRDefault="00F724E0" w:rsidP="00F724E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F724E0" w:rsidRPr="00530318" w14:paraId="308FD1BB" w14:textId="77777777" w:rsidTr="000B55F4">
      <w:trPr>
        <w:jc w:val="center"/>
      </w:trPr>
      <w:tc>
        <w:tcPr>
          <w:tcW w:w="4956" w:type="dxa"/>
        </w:tcPr>
        <w:p w14:paraId="56447C6D" w14:textId="220C9B9D" w:rsidR="00F724E0" w:rsidRPr="00530318" w:rsidRDefault="00F724E0" w:rsidP="00F724E0">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RON</w:t>
          </w:r>
          <w:r w:rsidRPr="00530318">
            <w:rPr>
              <w:rFonts w:ascii="Arial" w:hAnsi="Arial" w:cs="Arial"/>
              <w:sz w:val="16"/>
              <w:szCs w:val="16"/>
            </w:rPr>
            <w:t>)(</w:t>
          </w:r>
          <w:r>
            <w:rPr>
              <w:rFonts w:ascii="Arial" w:hAnsi="Arial" w:cs="Arial"/>
              <w:sz w:val="16"/>
              <w:szCs w:val="16"/>
            </w:rPr>
            <w:t>Aug2023)</w:t>
          </w:r>
        </w:p>
      </w:tc>
      <w:tc>
        <w:tcPr>
          <w:tcW w:w="4073" w:type="dxa"/>
        </w:tcPr>
        <w:p w14:paraId="1C663346" w14:textId="77777777" w:rsidR="00F724E0" w:rsidRDefault="00F724E0" w:rsidP="00F724E0">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17C9B775" w14:textId="77777777" w:rsidR="00F724E0" w:rsidRPr="00530318" w:rsidRDefault="00F724E0" w:rsidP="00F724E0">
          <w:pPr>
            <w:jc w:val="right"/>
            <w:rPr>
              <w:rFonts w:ascii="Arial" w:hAnsi="Arial" w:cs="Arial"/>
              <w:sz w:val="16"/>
              <w:szCs w:val="16"/>
            </w:rPr>
          </w:pPr>
          <w:r>
            <w:rPr>
              <w:rFonts w:ascii="Arial" w:hAnsi="Arial" w:cs="Arial"/>
              <w:sz w:val="16"/>
              <w:szCs w:val="16"/>
            </w:rPr>
            <w:t>Document X20-11691</w:t>
          </w:r>
        </w:p>
      </w:tc>
    </w:tr>
  </w:tbl>
  <w:p w14:paraId="186DBEB0" w14:textId="77777777" w:rsidR="00F724E0" w:rsidRPr="004D4BCB" w:rsidRDefault="00F724E0" w:rsidP="00F724E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AE1A" w14:textId="77777777" w:rsidR="000F450A" w:rsidRDefault="000F450A">
      <w:r>
        <w:separator/>
      </w:r>
    </w:p>
  </w:footnote>
  <w:footnote w:type="continuationSeparator" w:id="0">
    <w:p w14:paraId="003B5FB4" w14:textId="77777777" w:rsidR="000F450A" w:rsidRDefault="000F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034F"/>
    <w:rsid w:val="00077BC7"/>
    <w:rsid w:val="00082E37"/>
    <w:rsid w:val="00090B9A"/>
    <w:rsid w:val="00091D42"/>
    <w:rsid w:val="000A4937"/>
    <w:rsid w:val="000A66FF"/>
    <w:rsid w:val="000A6714"/>
    <w:rsid w:val="000B656F"/>
    <w:rsid w:val="000B6EB0"/>
    <w:rsid w:val="000C4276"/>
    <w:rsid w:val="000D0CD0"/>
    <w:rsid w:val="000E0547"/>
    <w:rsid w:val="000E35C0"/>
    <w:rsid w:val="000F450A"/>
    <w:rsid w:val="000F4B83"/>
    <w:rsid w:val="000F54DA"/>
    <w:rsid w:val="001131DE"/>
    <w:rsid w:val="00114544"/>
    <w:rsid w:val="0011556F"/>
    <w:rsid w:val="00123BDA"/>
    <w:rsid w:val="00132643"/>
    <w:rsid w:val="00156924"/>
    <w:rsid w:val="0018100A"/>
    <w:rsid w:val="001839FC"/>
    <w:rsid w:val="00190623"/>
    <w:rsid w:val="00192DCC"/>
    <w:rsid w:val="0019381D"/>
    <w:rsid w:val="001A13E8"/>
    <w:rsid w:val="001A2EC4"/>
    <w:rsid w:val="001A4FA5"/>
    <w:rsid w:val="001A5EB7"/>
    <w:rsid w:val="001B079A"/>
    <w:rsid w:val="001C3519"/>
    <w:rsid w:val="001C7554"/>
    <w:rsid w:val="001E02BF"/>
    <w:rsid w:val="001E124D"/>
    <w:rsid w:val="001F0188"/>
    <w:rsid w:val="0021375F"/>
    <w:rsid w:val="0021499D"/>
    <w:rsid w:val="0023520B"/>
    <w:rsid w:val="00236477"/>
    <w:rsid w:val="00242607"/>
    <w:rsid w:val="00244812"/>
    <w:rsid w:val="00247CC7"/>
    <w:rsid w:val="00265D2F"/>
    <w:rsid w:val="00296B92"/>
    <w:rsid w:val="002A6AB8"/>
    <w:rsid w:val="002B0E40"/>
    <w:rsid w:val="002D3E13"/>
    <w:rsid w:val="002E335D"/>
    <w:rsid w:val="002E3B56"/>
    <w:rsid w:val="002F04C2"/>
    <w:rsid w:val="002F139E"/>
    <w:rsid w:val="00304307"/>
    <w:rsid w:val="0030752E"/>
    <w:rsid w:val="00325618"/>
    <w:rsid w:val="0034204B"/>
    <w:rsid w:val="00350050"/>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F2A73"/>
    <w:rsid w:val="005046C9"/>
    <w:rsid w:val="00507C4A"/>
    <w:rsid w:val="005103CB"/>
    <w:rsid w:val="00513063"/>
    <w:rsid w:val="0052338B"/>
    <w:rsid w:val="0053246A"/>
    <w:rsid w:val="005416E0"/>
    <w:rsid w:val="005423E5"/>
    <w:rsid w:val="00546EC0"/>
    <w:rsid w:val="00562882"/>
    <w:rsid w:val="00565294"/>
    <w:rsid w:val="005702B7"/>
    <w:rsid w:val="00575088"/>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3755"/>
    <w:rsid w:val="00636CB0"/>
    <w:rsid w:val="006425DC"/>
    <w:rsid w:val="00646B52"/>
    <w:rsid w:val="00646F0D"/>
    <w:rsid w:val="00657927"/>
    <w:rsid w:val="006605A0"/>
    <w:rsid w:val="006650F9"/>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5C6B"/>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800615"/>
    <w:rsid w:val="00804653"/>
    <w:rsid w:val="00811024"/>
    <w:rsid w:val="00841FDF"/>
    <w:rsid w:val="00853BE3"/>
    <w:rsid w:val="00853D95"/>
    <w:rsid w:val="0086033E"/>
    <w:rsid w:val="00866031"/>
    <w:rsid w:val="00873AA2"/>
    <w:rsid w:val="00875183"/>
    <w:rsid w:val="008823CD"/>
    <w:rsid w:val="008A1148"/>
    <w:rsid w:val="008A3FD4"/>
    <w:rsid w:val="008C0777"/>
    <w:rsid w:val="008C2A71"/>
    <w:rsid w:val="008D11C0"/>
    <w:rsid w:val="008D277C"/>
    <w:rsid w:val="008D7B50"/>
    <w:rsid w:val="008E6810"/>
    <w:rsid w:val="008F0F61"/>
    <w:rsid w:val="00907547"/>
    <w:rsid w:val="00924902"/>
    <w:rsid w:val="00924DDA"/>
    <w:rsid w:val="00931190"/>
    <w:rsid w:val="00946A29"/>
    <w:rsid w:val="00981F04"/>
    <w:rsid w:val="0098372D"/>
    <w:rsid w:val="009A1B8C"/>
    <w:rsid w:val="009C2702"/>
    <w:rsid w:val="009C422E"/>
    <w:rsid w:val="009D0F98"/>
    <w:rsid w:val="009F25D6"/>
    <w:rsid w:val="009F6E28"/>
    <w:rsid w:val="009F72D0"/>
    <w:rsid w:val="00A01F7E"/>
    <w:rsid w:val="00A035BC"/>
    <w:rsid w:val="00A13ADC"/>
    <w:rsid w:val="00A2705E"/>
    <w:rsid w:val="00A5311D"/>
    <w:rsid w:val="00A5509B"/>
    <w:rsid w:val="00A62E9D"/>
    <w:rsid w:val="00A97670"/>
    <w:rsid w:val="00AB0984"/>
    <w:rsid w:val="00AB231B"/>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32"/>
    <w:rsid w:val="00BC36C8"/>
    <w:rsid w:val="00BD0002"/>
    <w:rsid w:val="00BD55A0"/>
    <w:rsid w:val="00BD6448"/>
    <w:rsid w:val="00BD7570"/>
    <w:rsid w:val="00BE1F7C"/>
    <w:rsid w:val="00BE33D4"/>
    <w:rsid w:val="00BF5456"/>
    <w:rsid w:val="00BF5939"/>
    <w:rsid w:val="00BF5F01"/>
    <w:rsid w:val="00C07237"/>
    <w:rsid w:val="00C13FAB"/>
    <w:rsid w:val="00C200C3"/>
    <w:rsid w:val="00C4174A"/>
    <w:rsid w:val="00C52C41"/>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14F18"/>
    <w:rsid w:val="00D32D9B"/>
    <w:rsid w:val="00D3447D"/>
    <w:rsid w:val="00D364C7"/>
    <w:rsid w:val="00D37579"/>
    <w:rsid w:val="00D51539"/>
    <w:rsid w:val="00D55B42"/>
    <w:rsid w:val="00D62642"/>
    <w:rsid w:val="00D74CB7"/>
    <w:rsid w:val="00DA0BC3"/>
    <w:rsid w:val="00DA13E8"/>
    <w:rsid w:val="00DB4749"/>
    <w:rsid w:val="00DB50A9"/>
    <w:rsid w:val="00DF2931"/>
    <w:rsid w:val="00E06D79"/>
    <w:rsid w:val="00E079C5"/>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24E0"/>
    <w:rsid w:val="00F75A28"/>
    <w:rsid w:val="00F93E58"/>
    <w:rsid w:val="00FA646D"/>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tbJrnLjGHbhk0oOw2fK1Y87Gx90=" w:salt="OC3okXPZUWdoOWz9tApQ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o-RO" w:eastAsia="ro-RO" w:bidi="ro-RO"/>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2.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3.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2</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7091</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42</cp:revision>
  <cp:lastPrinted>2023-08-16T15:55:00Z</cp:lastPrinted>
  <dcterms:created xsi:type="dcterms:W3CDTF">2023-08-04T23:30:00Z</dcterms:created>
  <dcterms:modified xsi:type="dcterms:W3CDTF">2023-08-16T15:55:00Z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