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DD8B" w14:textId="5B87C693" w:rsidR="00BD55A0" w:rsidRDefault="00C13FAB" w:rsidP="00EA7BAF">
      <w:pPr>
        <w:spacing w:before="240" w:after="240"/>
        <w:rPr>
          <w:rFonts w:ascii="Arial" w:hAnsi="Arial" w:cs="Arial"/>
          <w:bCs/>
          <w:iCs/>
          <w:sz w:val="36"/>
          <w:szCs w:val="36"/>
        </w:rPr>
      </w:pPr>
      <w:r>
        <w:rPr>
          <w:rFonts w:ascii="Arial" w:hAnsi="Arial" w:cs="Arial"/>
          <w:bCs/>
          <w:iCs/>
          <w:sz w:val="36"/>
          <w:szCs w:val="36"/>
        </w:rPr>
        <w:t>Microsoftova definicija upravičenega uporabnika v</w:t>
      </w:r>
      <w:r w:rsidR="009A3006">
        <w:rPr>
          <w:rFonts w:ascii="Arial" w:hAnsi="Arial" w:cs="Arial"/>
          <w:bCs/>
          <w:iCs/>
          <w:sz w:val="36"/>
          <w:szCs w:val="36"/>
        </w:rPr>
        <w:t> </w:t>
      </w:r>
      <w:r>
        <w:rPr>
          <w:rFonts w:ascii="Arial" w:hAnsi="Arial" w:cs="Arial"/>
          <w:bCs/>
          <w:iCs/>
          <w:sz w:val="36"/>
          <w:szCs w:val="36"/>
        </w:rPr>
        <w:t>izobraževanju (EMEA)</w:t>
      </w:r>
    </w:p>
    <w:p w14:paraId="57EFB661" w14:textId="241E65FA" w:rsidR="00BF5456" w:rsidRDefault="00BF5456" w:rsidP="00EA7BAF">
      <w:pPr>
        <w:spacing w:before="240" w:after="240"/>
        <w:rPr>
          <w:rFonts w:ascii="Arial" w:hAnsi="Arial" w:cs="Arial"/>
          <w:bCs/>
          <w:iCs/>
          <w:sz w:val="36"/>
          <w:szCs w:val="36"/>
        </w:rPr>
        <w:sectPr w:rsidR="00BF5456" w:rsidSect="002B0E40">
          <w:headerReference w:type="even" r:id="rId11"/>
          <w:headerReference w:type="default" r:id="rId12"/>
          <w:footerReference w:type="default" r:id="rId13"/>
          <w:headerReference w:type="first" r:id="rId14"/>
          <w:footerReference w:type="first" r:id="rId15"/>
          <w:type w:val="continuous"/>
          <w:pgSz w:w="11907" w:h="16839" w:code="9"/>
          <w:pgMar w:top="1440" w:right="1440" w:bottom="1440" w:left="1440" w:header="576" w:footer="432" w:gutter="0"/>
          <w:cols w:space="720"/>
          <w:titlePg/>
          <w:docGrid w:linePitch="272"/>
        </w:sectPr>
      </w:pPr>
    </w:p>
    <w:p w14:paraId="231111F7" w14:textId="21986E5B" w:rsidR="00296B92" w:rsidRPr="005A149E" w:rsidRDefault="007404EE" w:rsidP="00EA7BAF">
      <w:pPr>
        <w:spacing w:after="120"/>
        <w:jc w:val="both"/>
        <w:rPr>
          <w:rFonts w:ascii="Arial" w:hAnsi="Arial" w:cs="Arial"/>
          <w:sz w:val="16"/>
          <w:szCs w:val="16"/>
        </w:rPr>
      </w:pPr>
      <w:r>
        <w:rPr>
          <w:rFonts w:ascii="Arial" w:hAnsi="Arial" w:cs="Arial"/>
          <w:sz w:val="16"/>
          <w:szCs w:val="16"/>
        </w:rPr>
        <w:t>V nadaljevanju je navedeno, kdo lahko v okviru programov, navedenih spodaj (ob upoštevanju morebitnih dodatnih zahtev za upravičenost, ki lahko veljajo za take programe), pridobi izdelke Microsoft Academic Edition (AE) in je opredeljen kot upravičeni uporabnik v izobraževanju. Microsoft si pridržuje pravico do pregleda, ali morebitna stranka ali predlagana stranka izpolnjuje zahteve za status upravičenega uporabnika v izobraževanju, in ukinitev tega statusa, če mu stranka ali predlagana stranka ne more jasno dokazati in utemeljiti svoje upravičenosti na podlagi meril, določenih v tem dokumentu, ali ohraniti svojega statusa.</w:t>
      </w:r>
    </w:p>
    <w:tbl>
      <w:tblPr>
        <w:tblW w:w="9000" w:type="dxa"/>
        <w:jc w:val="center"/>
        <w:tblLayout w:type="fixed"/>
        <w:tblLook w:val="0000" w:firstRow="0" w:lastRow="0" w:firstColumn="0" w:lastColumn="0" w:noHBand="0" w:noVBand="0"/>
      </w:tblPr>
      <w:tblGrid>
        <w:gridCol w:w="506"/>
        <w:gridCol w:w="6064"/>
        <w:gridCol w:w="2430"/>
      </w:tblGrid>
      <w:tr w:rsidR="00296B92" w:rsidRPr="002F47DF" w14:paraId="231111FB" w14:textId="77777777" w:rsidTr="00714698">
        <w:trPr>
          <w:trHeight w:val="270"/>
          <w:jc w:val="center"/>
        </w:trPr>
        <w:tc>
          <w:tcPr>
            <w:tcW w:w="506" w:type="dxa"/>
            <w:vAlign w:val="center"/>
          </w:tcPr>
          <w:p w14:paraId="231111F8" w14:textId="77777777" w:rsidR="00296B92" w:rsidRPr="002F47DF" w:rsidRDefault="00296B92" w:rsidP="00EA7BAF">
            <w:pPr>
              <w:tabs>
                <w:tab w:val="left" w:pos="180"/>
                <w:tab w:val="left" w:pos="360"/>
              </w:tabs>
              <w:ind w:left="180" w:hanging="180"/>
              <w:rPr>
                <w:rFonts w:ascii="Arial" w:hAnsi="Arial" w:cs="Arial"/>
                <w:b/>
                <w:sz w:val="18"/>
              </w:rPr>
            </w:pPr>
          </w:p>
        </w:tc>
        <w:tc>
          <w:tcPr>
            <w:tcW w:w="6064" w:type="dxa"/>
            <w:vAlign w:val="center"/>
          </w:tcPr>
          <w:p w14:paraId="231111F9" w14:textId="77777777" w:rsidR="00296B92" w:rsidRPr="002F47DF" w:rsidRDefault="00296B92" w:rsidP="00EA7BAF">
            <w:pPr>
              <w:tabs>
                <w:tab w:val="left" w:pos="180"/>
                <w:tab w:val="left" w:pos="360"/>
              </w:tabs>
              <w:ind w:left="180" w:hanging="180"/>
              <w:rPr>
                <w:rFonts w:ascii="Arial" w:hAnsi="Arial" w:cs="Arial"/>
                <w:b/>
                <w:sz w:val="18"/>
              </w:rPr>
            </w:pPr>
            <w:r>
              <w:rPr>
                <w:rFonts w:ascii="Arial" w:hAnsi="Arial" w:cs="Arial"/>
                <w:b/>
                <w:sz w:val="18"/>
              </w:rPr>
              <w:t>UPRAVIČENI UPORABNIKI V IZOBRAŽEVANJU:</w:t>
            </w:r>
          </w:p>
        </w:tc>
        <w:tc>
          <w:tcPr>
            <w:tcW w:w="2430" w:type="dxa"/>
          </w:tcPr>
          <w:p w14:paraId="231111FA" w14:textId="26F7E67F" w:rsidR="00296B92" w:rsidRPr="002F47DF" w:rsidRDefault="00296B92" w:rsidP="00EA7BAF">
            <w:pPr>
              <w:tabs>
                <w:tab w:val="left" w:pos="162"/>
              </w:tabs>
              <w:ind w:left="180" w:hanging="180"/>
              <w:jc w:val="center"/>
              <w:rPr>
                <w:rFonts w:ascii="Arial" w:hAnsi="Arial" w:cs="Arial"/>
                <w:sz w:val="18"/>
              </w:rPr>
            </w:pPr>
          </w:p>
        </w:tc>
      </w:tr>
      <w:tr w:rsidR="00296B92" w:rsidRPr="002F47DF" w14:paraId="23111201" w14:textId="77777777" w:rsidTr="00A97670">
        <w:trPr>
          <w:trHeight w:val="495"/>
          <w:jc w:val="center"/>
        </w:trPr>
        <w:tc>
          <w:tcPr>
            <w:tcW w:w="506" w:type="dxa"/>
            <w:tcBorders>
              <w:top w:val="double" w:sz="6" w:space="0" w:color="auto"/>
            </w:tcBorders>
          </w:tcPr>
          <w:p w14:paraId="231111FC" w14:textId="77777777" w:rsidR="00296B92" w:rsidRPr="002F47DF" w:rsidRDefault="00296B92" w:rsidP="00EA7BAF">
            <w:pPr>
              <w:tabs>
                <w:tab w:val="left" w:pos="180"/>
                <w:tab w:val="left" w:pos="360"/>
              </w:tabs>
              <w:ind w:left="180" w:hanging="180"/>
              <w:jc w:val="both"/>
              <w:rPr>
                <w:rFonts w:ascii="Arial" w:hAnsi="Arial" w:cs="Arial"/>
                <w:b/>
                <w:sz w:val="18"/>
              </w:rPr>
            </w:pPr>
            <w:r>
              <w:rPr>
                <w:rFonts w:ascii="Arial" w:hAnsi="Arial" w:cs="Arial"/>
                <w:b/>
                <w:sz w:val="18"/>
              </w:rPr>
              <w:t>A)</w:t>
            </w:r>
          </w:p>
        </w:tc>
        <w:tc>
          <w:tcPr>
            <w:tcW w:w="6064" w:type="dxa"/>
            <w:tcBorders>
              <w:top w:val="double" w:sz="6" w:space="0" w:color="auto"/>
            </w:tcBorders>
          </w:tcPr>
          <w:p w14:paraId="151B0EE8" w14:textId="0F5250E2" w:rsidR="00296B92" w:rsidRDefault="00296B92" w:rsidP="00EA7BAF">
            <w:pPr>
              <w:ind w:left="180" w:hanging="180"/>
              <w:rPr>
                <w:rFonts w:ascii="Arial" w:hAnsi="Arial" w:cs="Arial"/>
                <w:b/>
                <w:sz w:val="16"/>
              </w:rPr>
            </w:pPr>
            <w:r>
              <w:rPr>
                <w:rFonts w:ascii="Arial" w:hAnsi="Arial" w:cs="Arial"/>
                <w:b/>
                <w:sz w:val="16"/>
              </w:rPr>
              <w:t>Izobraževalna ustanova</w:t>
            </w:r>
          </w:p>
          <w:p w14:paraId="231111FD" w14:textId="69D7FF1B" w:rsidR="005A1EE0" w:rsidRPr="002F47DF" w:rsidRDefault="005A1EE0" w:rsidP="00EA7BAF">
            <w:pPr>
              <w:ind w:left="180" w:hanging="180"/>
              <w:rPr>
                <w:rFonts w:ascii="Arial" w:hAnsi="Arial" w:cs="Arial"/>
                <w:b/>
                <w:sz w:val="18"/>
              </w:rPr>
            </w:pPr>
            <w:r>
              <w:rPr>
                <w:rFonts w:ascii="Arial" w:hAnsi="Arial" w:cs="Arial"/>
                <w:sz w:val="16"/>
              </w:rPr>
              <w:t>»Izobraževalna ustanova« je opredeljena kot:</w:t>
            </w:r>
          </w:p>
        </w:tc>
        <w:tc>
          <w:tcPr>
            <w:tcW w:w="2430" w:type="dxa"/>
            <w:tcBorders>
              <w:top w:val="double" w:sz="6" w:space="0" w:color="auto"/>
            </w:tcBorders>
          </w:tcPr>
          <w:p w14:paraId="23111200" w14:textId="0F250EE0" w:rsidR="0011556F" w:rsidRPr="005A149E" w:rsidRDefault="005A1EE0" w:rsidP="00EA7BAF">
            <w:pPr>
              <w:ind w:left="74"/>
              <w:rPr>
                <w:rFonts w:ascii="Arial" w:hAnsi="Arial" w:cs="Arial"/>
                <w:sz w:val="16"/>
                <w:szCs w:val="18"/>
              </w:rPr>
            </w:pPr>
            <w:r>
              <w:rPr>
                <w:rFonts w:ascii="Arial" w:hAnsi="Arial" w:cs="Arial"/>
                <w:sz w:val="16"/>
                <w:szCs w:val="18"/>
              </w:rPr>
              <w:t>UPRAVIČENI PROGRAMI za izobraževalne ustanove (I–II):</w:t>
            </w:r>
          </w:p>
        </w:tc>
      </w:tr>
      <w:tr w:rsidR="00296B92" w:rsidRPr="002F47DF" w14:paraId="23111209" w14:textId="77777777" w:rsidTr="00907547">
        <w:trPr>
          <w:trHeight w:val="4176"/>
          <w:jc w:val="center"/>
        </w:trPr>
        <w:tc>
          <w:tcPr>
            <w:tcW w:w="506" w:type="dxa"/>
          </w:tcPr>
          <w:p w14:paraId="23111202" w14:textId="63F5B129" w:rsidR="00296B92" w:rsidRPr="002F47D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w:t>
            </w:r>
          </w:p>
        </w:tc>
        <w:tc>
          <w:tcPr>
            <w:tcW w:w="6064" w:type="dxa"/>
          </w:tcPr>
          <w:p w14:paraId="2914F30A" w14:textId="38FC270F" w:rsidR="005A1EE0" w:rsidRPr="005A149E" w:rsidRDefault="005A1EE0" w:rsidP="00A97670">
            <w:pPr>
              <w:ind w:firstLine="14"/>
              <w:rPr>
                <w:rFonts w:ascii="Arial" w:hAnsi="Arial" w:cs="Arial"/>
                <w:sz w:val="16"/>
                <w:szCs w:val="16"/>
              </w:rPr>
            </w:pPr>
            <w:r>
              <w:rPr>
                <w:rFonts w:ascii="Arial" w:hAnsi="Arial" w:cs="Arial"/>
                <w:sz w:val="16"/>
                <w:szCs w:val="16"/>
              </w:rPr>
              <w:t>izobraževalna ustanova ali zavod, ki je javna ali zasebna osnovna, srednja, višja, visoka, posebna, poklicna, dopisna, znanstvena, tehnična ali vojaška šola oziroma univerza ali druga izobraževalna ustanova, ki jo upravlja državni organ in podeljuje akademske nazive ter izpolnjuje vse te pogoje:</w:t>
            </w:r>
          </w:p>
          <w:p w14:paraId="23BC92E9" w14:textId="318402DA" w:rsidR="005A1EE0"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ponuja študijske programe, ki omogočajo pridobitev potrdila, ki je priznano kot del običajnega akademskega napredovanja v državi (primeri takih potrdil so med drugimi mednarodna diploma; šolsko spričevalo, diploma višje stopnje, diploma visoke stopnje, magisterij, doktorat); in</w:t>
            </w:r>
          </w:p>
          <w:p w14:paraId="23111203" w14:textId="1BDE5189" w:rsidR="00296B92"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ima akreditacijo ministrstva za izobraževanje ali ustrezne priznane akreditacijske agencije v državi. Če ni take neposredne akreditacije, je</w:t>
            </w:r>
            <w:r w:rsidR="00676621">
              <w:rPr>
                <w:rFonts w:ascii="Arial" w:hAnsi="Arial" w:cs="Arial"/>
                <w:sz w:val="16"/>
                <w:szCs w:val="16"/>
              </w:rPr>
              <w:t> </w:t>
            </w:r>
            <w:r>
              <w:rPr>
                <w:rFonts w:ascii="Arial" w:hAnsi="Arial" w:cs="Arial"/>
                <w:sz w:val="16"/>
                <w:szCs w:val="16"/>
              </w:rPr>
              <w:t>potrebna posredna akreditacija (npr. potrdilo, ki ga ponuja šola ali ustanova, mora biti sprejemljivo za kreditne točke ali sprejem v tradicionalni akreditirani izobraževalni ustanovi lokalno ali v tujini);</w:t>
            </w:r>
          </w:p>
        </w:tc>
        <w:tc>
          <w:tcPr>
            <w:tcW w:w="2430" w:type="dxa"/>
          </w:tcPr>
          <w:p w14:paraId="2CAE0B5F" w14:textId="00E2E05A" w:rsidR="00E06D79"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Select Plus</w:t>
            </w:r>
          </w:p>
          <w:p w14:paraId="52B63670" w14:textId="7EC70668" w:rsidR="005A1EE0" w:rsidRPr="00931190" w:rsidRDefault="005A1EE0"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23111204" w14:textId="3257931F" w:rsidR="0077680B" w:rsidRPr="00931190" w:rsidRDefault="0077680B"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Enrollment for Education Solutions (tako za osnovne šole ali vrtce kot tudi za višješolske ustanove)</w:t>
            </w:r>
          </w:p>
          <w:p w14:paraId="3340DC78" w14:textId="2F071F08"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Pogodba Get Genuine Windows – izobraževalna ustanova</w:t>
            </w:r>
          </w:p>
          <w:p w14:paraId="3F3E42DC" w14:textId="1FD9C897" w:rsidR="00082E37" w:rsidRPr="0093119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Microsoftova pogodba s stranko (vključuje CSP)</w:t>
            </w:r>
          </w:p>
          <w:p w14:paraId="21FA5967" w14:textId="5A56B36B"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Naročniška pogodba Microsoft Online</w:t>
            </w:r>
          </w:p>
          <w:p w14:paraId="0048F3EB" w14:textId="22DF31DD" w:rsidR="007D442F"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Pogodba o Microsoftovih izdelkih in storitvah</w:t>
            </w:r>
          </w:p>
          <w:p w14:paraId="61D3C2B1" w14:textId="55E3AFF6"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Education Solutions (tako za</w:t>
            </w:r>
            <w:r w:rsidR="00FC4BF5">
              <w:rPr>
                <w:rFonts w:ascii="Arial" w:hAnsi="Arial" w:cs="Arial"/>
                <w:sz w:val="16"/>
                <w:szCs w:val="16"/>
              </w:rPr>
              <w:t> </w:t>
            </w:r>
            <w:r>
              <w:rPr>
                <w:rFonts w:ascii="Arial" w:hAnsi="Arial" w:cs="Arial"/>
                <w:sz w:val="16"/>
                <w:szCs w:val="16"/>
              </w:rPr>
              <w:t>osnovne šole ali vrtce in</w:t>
            </w:r>
            <w:r w:rsidR="00FC4BF5">
              <w:rPr>
                <w:rFonts w:ascii="Arial" w:hAnsi="Arial" w:cs="Arial"/>
                <w:sz w:val="16"/>
                <w:szCs w:val="16"/>
              </w:rPr>
              <w:t> </w:t>
            </w:r>
            <w:r>
              <w:rPr>
                <w:rFonts w:ascii="Arial" w:hAnsi="Arial" w:cs="Arial"/>
                <w:sz w:val="16"/>
                <w:szCs w:val="16"/>
              </w:rPr>
              <w:t>višješolske ustanove)</w:t>
            </w:r>
          </w:p>
          <w:p w14:paraId="23111205" w14:textId="4EA52AD8" w:rsidR="00296B92" w:rsidRPr="00931190" w:rsidRDefault="00296B92" w:rsidP="00EA7BAF">
            <w:pPr>
              <w:pStyle w:val="ListParagraph"/>
              <w:numPr>
                <w:ilvl w:val="0"/>
                <w:numId w:val="36"/>
              </w:numPr>
              <w:tabs>
                <w:tab w:val="left" w:pos="162"/>
              </w:tabs>
              <w:ind w:left="180" w:hanging="180"/>
              <w:contextualSpacing w:val="0"/>
              <w:rPr>
                <w:rFonts w:ascii="Arial" w:hAnsi="Arial" w:cs="Arial"/>
                <w:sz w:val="16"/>
                <w:szCs w:val="16"/>
              </w:rPr>
            </w:pPr>
            <w:r>
              <w:rPr>
                <w:rFonts w:ascii="Arial" w:hAnsi="Arial" w:cs="Arial"/>
                <w:sz w:val="16"/>
                <w:szCs w:val="16"/>
              </w:rPr>
              <w:t xml:space="preserve">Pogodba School </w:t>
            </w:r>
          </w:p>
          <w:p w14:paraId="23111206" w14:textId="2D1C271B" w:rsidR="00296B92" w:rsidRPr="00931190" w:rsidRDefault="00296B92" w:rsidP="00EA7BAF">
            <w:pPr>
              <w:pStyle w:val="ListParagraph"/>
              <w:ind w:left="180"/>
              <w:contextualSpacing w:val="0"/>
              <w:rPr>
                <w:rFonts w:ascii="Arial" w:hAnsi="Arial" w:cs="Arial"/>
                <w:sz w:val="16"/>
                <w:szCs w:val="16"/>
              </w:rPr>
            </w:pPr>
            <w:r>
              <w:rPr>
                <w:rFonts w:ascii="Arial" w:hAnsi="Arial" w:cs="Arial"/>
                <w:sz w:val="16"/>
                <w:szCs w:val="16"/>
              </w:rPr>
              <w:t>(samo za sektor osnovnošolskega ali</w:t>
            </w:r>
            <w:r w:rsidR="00566192">
              <w:rPr>
                <w:rFonts w:ascii="Arial" w:hAnsi="Arial" w:cs="Arial"/>
                <w:sz w:val="16"/>
                <w:szCs w:val="16"/>
              </w:rPr>
              <w:t> </w:t>
            </w:r>
            <w:r>
              <w:rPr>
                <w:rFonts w:ascii="Arial" w:hAnsi="Arial" w:cs="Arial"/>
                <w:sz w:val="16"/>
                <w:szCs w:val="16"/>
              </w:rPr>
              <w:t>srednješolskega izobraževanja)</w:t>
            </w:r>
          </w:p>
          <w:p w14:paraId="23111208" w14:textId="6B475CCC" w:rsidR="005A1EE0" w:rsidRPr="005A149E" w:rsidRDefault="00E06D79" w:rsidP="00EA7BAF">
            <w:pPr>
              <w:pStyle w:val="ListParagraph"/>
              <w:numPr>
                <w:ilvl w:val="0"/>
                <w:numId w:val="36"/>
              </w:numPr>
              <w:ind w:left="180" w:hanging="180"/>
              <w:contextualSpacing w:val="0"/>
              <w:rPr>
                <w:sz w:val="16"/>
                <w:szCs w:val="16"/>
              </w:rPr>
            </w:pPr>
            <w:r>
              <w:rPr>
                <w:rFonts w:ascii="Arial" w:hAnsi="Arial" w:cs="Arial"/>
                <w:sz w:val="16"/>
                <w:szCs w:val="16"/>
              </w:rPr>
              <w:t>Licenčna pogodba Services</w:t>
            </w:r>
            <w:r w:rsidR="009505F6">
              <w:rPr>
                <w:rFonts w:ascii="Arial" w:hAnsi="Arial" w:cs="Arial"/>
                <w:sz w:val="16"/>
                <w:szCs w:val="16"/>
              </w:rPr>
              <w:t> </w:t>
            </w:r>
            <w:r>
              <w:rPr>
                <w:rFonts w:ascii="Arial" w:hAnsi="Arial" w:cs="Arial"/>
                <w:sz w:val="16"/>
                <w:szCs w:val="16"/>
              </w:rPr>
              <w:t>Provider</w:t>
            </w:r>
          </w:p>
        </w:tc>
      </w:tr>
      <w:tr w:rsidR="00907547" w:rsidRPr="002F47DF" w14:paraId="0D394439" w14:textId="77777777" w:rsidTr="00A97670">
        <w:trPr>
          <w:trHeight w:val="1593"/>
          <w:jc w:val="center"/>
        </w:trPr>
        <w:tc>
          <w:tcPr>
            <w:tcW w:w="506" w:type="dxa"/>
          </w:tcPr>
          <w:p w14:paraId="0C3910D8" w14:textId="3BD63C57" w:rsidR="00907547" w:rsidRDefault="00907547" w:rsidP="00907547">
            <w:pPr>
              <w:tabs>
                <w:tab w:val="left" w:pos="180"/>
                <w:tab w:val="left" w:pos="360"/>
              </w:tabs>
              <w:ind w:left="180" w:hanging="180"/>
              <w:jc w:val="right"/>
              <w:rPr>
                <w:rFonts w:ascii="Arial" w:hAnsi="Arial" w:cs="Arial"/>
                <w:b/>
                <w:sz w:val="18"/>
              </w:rPr>
            </w:pPr>
            <w:r>
              <w:rPr>
                <w:rFonts w:ascii="Arial" w:hAnsi="Arial" w:cs="Arial"/>
                <w:b/>
                <w:sz w:val="18"/>
              </w:rPr>
              <w:t>II.</w:t>
            </w:r>
          </w:p>
        </w:tc>
        <w:tc>
          <w:tcPr>
            <w:tcW w:w="6064" w:type="dxa"/>
          </w:tcPr>
          <w:p w14:paraId="549776A9" w14:textId="3346CE46" w:rsidR="00907547" w:rsidRDefault="00907547" w:rsidP="00A97670">
            <w:pPr>
              <w:rPr>
                <w:rFonts w:ascii="Arial" w:hAnsi="Arial" w:cs="Arial"/>
                <w:sz w:val="16"/>
                <w:szCs w:val="16"/>
              </w:rPr>
            </w:pPr>
            <w:r>
              <w:rPr>
                <w:rFonts w:ascii="Arial" w:hAnsi="Arial" w:cs="Arial"/>
                <w:sz w:val="16"/>
                <w:szCs w:val="16"/>
              </w:rPr>
              <w:t>center za predšolske otroke, ki izpolnjuje vsa ta merila:</w:t>
            </w:r>
          </w:p>
          <w:p w14:paraId="51B0242F" w14:textId="1750926C" w:rsidR="00907547" w:rsidRPr="00EB6000"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je program za predšolske otroke, ustanovljen za namen zagotavljanja izobraževalnih storitev otrokom, starim 1–6 let, v katerem je vsaj deset takih</w:t>
            </w:r>
            <w:r w:rsidR="00DC305F">
              <w:rPr>
                <w:rFonts w:ascii="Arial" w:hAnsi="Arial" w:cs="Arial"/>
                <w:sz w:val="16"/>
                <w:szCs w:val="16"/>
              </w:rPr>
              <w:t> </w:t>
            </w:r>
            <w:r>
              <w:rPr>
                <w:rFonts w:ascii="Arial" w:hAnsi="Arial" w:cs="Arial"/>
                <w:sz w:val="16"/>
                <w:szCs w:val="16"/>
              </w:rPr>
              <w:t>otrok;</w:t>
            </w:r>
          </w:p>
          <w:p w14:paraId="6D690367" w14:textId="77777777" w:rsid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je zakonito ustanovljen, pooblaščen, ustvarjen, licenciran, ustanovljen, registriran in/ali akreditiran s strani ministrstva za izobraževanje ali ustrezno priznane akreditacijske agencije v državi; ter</w:t>
            </w:r>
          </w:p>
          <w:p w14:paraId="0447F4E8" w14:textId="28FC2C71" w:rsidR="00907547" w:rsidRP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posluje že vsaj eno leto;</w:t>
            </w:r>
          </w:p>
        </w:tc>
        <w:tc>
          <w:tcPr>
            <w:tcW w:w="2430" w:type="dxa"/>
          </w:tcPr>
          <w:p w14:paraId="578B11DE" w14:textId="77777777" w:rsidR="00907547" w:rsidRPr="00907547" w:rsidRDefault="00907547" w:rsidP="00907547">
            <w:pPr>
              <w:rPr>
                <w:rFonts w:ascii="Arial" w:hAnsi="Arial" w:cs="Arial"/>
                <w:sz w:val="16"/>
                <w:szCs w:val="16"/>
              </w:rPr>
            </w:pPr>
          </w:p>
        </w:tc>
      </w:tr>
      <w:tr w:rsidR="005A149E" w:rsidRPr="002F47DF" w14:paraId="55397195" w14:textId="77777777" w:rsidTr="00A97670">
        <w:trPr>
          <w:trHeight w:val="495"/>
          <w:jc w:val="center"/>
        </w:trPr>
        <w:tc>
          <w:tcPr>
            <w:tcW w:w="506" w:type="dxa"/>
          </w:tcPr>
          <w:p w14:paraId="0EBD4C96" w14:textId="77777777" w:rsidR="005A149E" w:rsidRDefault="005A149E" w:rsidP="00EA7BAF">
            <w:pPr>
              <w:tabs>
                <w:tab w:val="left" w:pos="180"/>
                <w:tab w:val="left" w:pos="360"/>
              </w:tabs>
              <w:rPr>
                <w:rFonts w:ascii="Arial" w:hAnsi="Arial" w:cs="Arial"/>
                <w:b/>
                <w:sz w:val="18"/>
              </w:rPr>
            </w:pPr>
          </w:p>
        </w:tc>
        <w:tc>
          <w:tcPr>
            <w:tcW w:w="6064" w:type="dxa"/>
          </w:tcPr>
          <w:p w14:paraId="0F2FD2E3" w14:textId="77777777" w:rsidR="005A149E" w:rsidRDefault="005A149E" w:rsidP="00EA7BAF">
            <w:pPr>
              <w:tabs>
                <w:tab w:val="left" w:pos="180"/>
                <w:tab w:val="left" w:pos="360"/>
              </w:tabs>
              <w:ind w:left="180" w:hanging="73"/>
            </w:pPr>
          </w:p>
        </w:tc>
        <w:tc>
          <w:tcPr>
            <w:tcW w:w="2430" w:type="dxa"/>
          </w:tcPr>
          <w:p w14:paraId="38BA1160" w14:textId="56D5CDF4" w:rsidR="005A149E" w:rsidRPr="005A149E" w:rsidRDefault="005A149E" w:rsidP="00EA7BAF">
            <w:pPr>
              <w:ind w:left="74"/>
              <w:rPr>
                <w:rFonts w:ascii="Arial" w:hAnsi="Arial" w:cs="Arial"/>
                <w:sz w:val="16"/>
                <w:szCs w:val="18"/>
              </w:rPr>
            </w:pPr>
            <w:r>
              <w:rPr>
                <w:rFonts w:ascii="Arial" w:hAnsi="Arial" w:cs="Arial"/>
                <w:sz w:val="16"/>
                <w:szCs w:val="18"/>
              </w:rPr>
              <w:t>UPRAVIČENI PROGRAMI za izobraževalne ustanove (III)</w:t>
            </w:r>
          </w:p>
        </w:tc>
      </w:tr>
      <w:tr w:rsidR="00296B92" w:rsidRPr="002F47DF" w14:paraId="2311120D" w14:textId="062561C3" w:rsidTr="00A97670">
        <w:trPr>
          <w:trHeight w:val="1800"/>
          <w:jc w:val="center"/>
        </w:trPr>
        <w:tc>
          <w:tcPr>
            <w:tcW w:w="506" w:type="dxa"/>
            <w:tcBorders>
              <w:bottom w:val="single" w:sz="4" w:space="0" w:color="auto"/>
            </w:tcBorders>
          </w:tcPr>
          <w:p w14:paraId="2311120A" w14:textId="79F1DD64" w:rsidR="005A1EE0" w:rsidRPr="00EA7BA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III.</w:t>
            </w:r>
          </w:p>
        </w:tc>
        <w:tc>
          <w:tcPr>
            <w:tcW w:w="6064" w:type="dxa"/>
            <w:tcBorders>
              <w:bottom w:val="single" w:sz="4" w:space="0" w:color="auto"/>
            </w:tcBorders>
          </w:tcPr>
          <w:p w14:paraId="2311120B" w14:textId="5104A6F1" w:rsidR="005A1EE0" w:rsidRPr="00EB6000" w:rsidRDefault="00EB6000" w:rsidP="00A97670">
            <w:pPr>
              <w:rPr>
                <w:rFonts w:ascii="Arial" w:hAnsi="Arial" w:cs="Arial"/>
                <w:sz w:val="16"/>
                <w:szCs w:val="16"/>
              </w:rPr>
            </w:pPr>
            <w:r>
              <w:rPr>
                <w:rFonts w:ascii="Arial" w:hAnsi="Arial" w:cs="Arial"/>
                <w:sz w:val="16"/>
                <w:szCs w:val="16"/>
              </w:rPr>
              <w:t>neprofitna ustanova/organizacija za redno poučevanje, vključno z nadaljnjim izobraževanjem, ki nima statusa izobraževalne ustanove in/ali jo vladna ustanova ni priznala.</w:t>
            </w:r>
          </w:p>
        </w:tc>
        <w:tc>
          <w:tcPr>
            <w:tcW w:w="2430" w:type="dxa"/>
            <w:tcBorders>
              <w:bottom w:val="single" w:sz="4" w:space="0" w:color="auto"/>
            </w:tcBorders>
          </w:tcPr>
          <w:p w14:paraId="5AC6DE92" w14:textId="1EF78C67" w:rsidR="007404EE" w:rsidRPr="00636CB0"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Open</w:t>
            </w:r>
          </w:p>
          <w:p w14:paraId="6E666BDB" w14:textId="617F6B2D" w:rsidR="00762A46" w:rsidRPr="004B250A"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Select Plus</w:t>
            </w:r>
          </w:p>
          <w:p w14:paraId="2A646508" w14:textId="11EA664F" w:rsidR="007404EE"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Pogodba Get Genuine Windows – izobraževalna ustanova</w:t>
            </w:r>
          </w:p>
          <w:p w14:paraId="68639FF7" w14:textId="43495654" w:rsidR="00762A46" w:rsidRPr="00636CB0" w:rsidRDefault="00762A46"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Microsoftova pogodba s stranko (vključuje CSP)</w:t>
            </w:r>
          </w:p>
          <w:p w14:paraId="2311120C" w14:textId="7D39CBF2" w:rsidR="00F45A2E" w:rsidRPr="004B250A" w:rsidRDefault="008A3FD4"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Pogodba o Microsoftovih izdelkih in storitvah</w:t>
            </w:r>
          </w:p>
        </w:tc>
      </w:tr>
      <w:tr w:rsidR="00296B92" w:rsidRPr="002F47DF" w14:paraId="23111218" w14:textId="77777777" w:rsidTr="00A97670">
        <w:trPr>
          <w:trHeight w:val="4575"/>
          <w:jc w:val="center"/>
        </w:trPr>
        <w:tc>
          <w:tcPr>
            <w:tcW w:w="506" w:type="dxa"/>
            <w:tcBorders>
              <w:top w:val="single" w:sz="4" w:space="0" w:color="auto"/>
              <w:bottom w:val="single" w:sz="6" w:space="0" w:color="auto"/>
            </w:tcBorders>
          </w:tcPr>
          <w:p w14:paraId="2311120E" w14:textId="61013157" w:rsidR="00296B92" w:rsidRPr="002F47DF" w:rsidRDefault="00A97670" w:rsidP="00EA7BAF">
            <w:pPr>
              <w:tabs>
                <w:tab w:val="left" w:pos="180"/>
                <w:tab w:val="left" w:pos="360"/>
              </w:tabs>
              <w:ind w:left="180" w:hanging="180"/>
              <w:rPr>
                <w:rFonts w:ascii="Arial" w:hAnsi="Arial" w:cs="Arial"/>
                <w:b/>
                <w:sz w:val="18"/>
              </w:rPr>
            </w:pPr>
            <w:r>
              <w:rPr>
                <w:rFonts w:ascii="Arial" w:hAnsi="Arial" w:cs="Arial"/>
                <w:b/>
                <w:sz w:val="18"/>
              </w:rPr>
              <w:lastRenderedPageBreak/>
              <w:t>B)</w:t>
            </w:r>
          </w:p>
        </w:tc>
        <w:tc>
          <w:tcPr>
            <w:tcW w:w="6064" w:type="dxa"/>
            <w:tcBorders>
              <w:top w:val="single" w:sz="4" w:space="0" w:color="auto"/>
              <w:bottom w:val="single" w:sz="6" w:space="0" w:color="auto"/>
            </w:tcBorders>
          </w:tcPr>
          <w:p w14:paraId="04928B92" w14:textId="77777777" w:rsidR="00A97670" w:rsidRDefault="00A97670" w:rsidP="0052338B">
            <w:pPr>
              <w:rPr>
                <w:rFonts w:ascii="Arial" w:hAnsi="Arial" w:cs="Arial"/>
                <w:sz w:val="16"/>
                <w:szCs w:val="16"/>
              </w:rPr>
            </w:pPr>
            <w:r>
              <w:rPr>
                <w:rFonts w:ascii="Arial" w:hAnsi="Arial" w:cs="Arial"/>
                <w:b/>
                <w:sz w:val="16"/>
                <w:szCs w:val="16"/>
              </w:rPr>
              <w:t>Administrativne pisarne izobraževalne ustanove</w:t>
            </w:r>
            <w:r>
              <w:rPr>
                <w:rFonts w:ascii="Arial" w:hAnsi="Arial" w:cs="Arial"/>
                <w:sz w:val="16"/>
                <w:szCs w:val="16"/>
              </w:rPr>
              <w:t xml:space="preserve"> </w:t>
            </w:r>
          </w:p>
          <w:p w14:paraId="0656CFE6" w14:textId="3273DFC1" w:rsidR="00873AA2" w:rsidRPr="00EB6000" w:rsidRDefault="00873AA2" w:rsidP="0052338B">
            <w:pPr>
              <w:spacing w:after="120"/>
              <w:rPr>
                <w:rFonts w:ascii="Arial" w:hAnsi="Arial" w:cs="Arial"/>
                <w:sz w:val="16"/>
                <w:szCs w:val="16"/>
              </w:rPr>
            </w:pPr>
            <w:r>
              <w:rPr>
                <w:rFonts w:ascii="Arial" w:hAnsi="Arial" w:cs="Arial"/>
                <w:sz w:val="16"/>
                <w:szCs w:val="16"/>
              </w:rPr>
              <w:t>»Administrativne pisarne izobraževalne ustanove« so opredeljene kot:</w:t>
            </w:r>
          </w:p>
          <w:p w14:paraId="4B725184" w14:textId="7BEDB172"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lokalne, regionalne ali državne administrativne pisarne javnih izobraževalnih ustanov;</w:t>
            </w:r>
          </w:p>
          <w:p w14:paraId="7BAE202C" w14:textId="74BB2BFA"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administrativne entitete, ki so vodene, organizirane in upravljane izključno</w:t>
            </w:r>
            <w:r w:rsidR="000D66B2">
              <w:rPr>
                <w:rFonts w:ascii="Arial" w:hAnsi="Arial" w:cs="Arial"/>
                <w:color w:val="000000" w:themeColor="text1"/>
                <w:sz w:val="16"/>
                <w:szCs w:val="16"/>
              </w:rPr>
              <w:t> </w:t>
            </w:r>
            <w:r>
              <w:rPr>
                <w:rFonts w:ascii="Arial" w:hAnsi="Arial" w:cs="Arial"/>
                <w:color w:val="000000" w:themeColor="text1"/>
                <w:sz w:val="16"/>
                <w:szCs w:val="16"/>
              </w:rPr>
              <w:t>za administracijo zasebnih izobraževalnih ustanov; ali</w:t>
            </w:r>
          </w:p>
          <w:p w14:paraId="62AF000B" w14:textId="31360A62"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druge nacionalne, regionalne ali državne entitete, pri katerih v vseh primerih</w:t>
            </w:r>
            <w:r w:rsidR="00671ADF">
              <w:rPr>
                <w:rFonts w:ascii="Arial" w:hAnsi="Arial" w:cs="Arial"/>
                <w:color w:val="000000" w:themeColor="text1"/>
                <w:sz w:val="16"/>
                <w:szCs w:val="16"/>
              </w:rPr>
              <w:t> </w:t>
            </w:r>
            <w:r>
              <w:rPr>
                <w:rFonts w:ascii="Arial" w:hAnsi="Arial" w:cs="Arial"/>
                <w:color w:val="000000" w:themeColor="text1"/>
                <w:sz w:val="16"/>
                <w:szCs w:val="16"/>
              </w:rPr>
              <w:t>skoraj vse njihove dejavnosti predstavljajo administrativno podporo, ki spodbuja akademsko učenje, za javne izobraževalne ustanove.</w:t>
            </w:r>
          </w:p>
          <w:p w14:paraId="2311120F" w14:textId="30166330" w:rsidR="00296B92" w:rsidRPr="00EB6000" w:rsidRDefault="00873AA2" w:rsidP="00A97670">
            <w:pPr>
              <w:rPr>
                <w:rFonts w:ascii="Arial" w:hAnsi="Arial" w:cs="Arial"/>
                <w:sz w:val="16"/>
                <w:szCs w:val="16"/>
              </w:rPr>
            </w:pPr>
            <w:r>
              <w:rPr>
                <w:rFonts w:ascii="Arial" w:hAnsi="Arial" w:cs="Arial"/>
                <w:sz w:val="16"/>
                <w:szCs w:val="16"/>
              </w:rPr>
              <w:t>Pojasnilo: pogoje za Microsoftovo upravičeno stranko v izobraževanju izpolnjujejo samo tisti oddelki okrožnih/območnih pisarn, katerih edina funkcija je zagotavljanje administrativnih in upravljalnih storitev za izobraževalne ustanove.</w:t>
            </w:r>
          </w:p>
        </w:tc>
        <w:tc>
          <w:tcPr>
            <w:tcW w:w="2430" w:type="dxa"/>
            <w:tcBorders>
              <w:top w:val="single" w:sz="4" w:space="0" w:color="auto"/>
              <w:bottom w:val="single" w:sz="6" w:space="0" w:color="auto"/>
            </w:tcBorders>
          </w:tcPr>
          <w:p w14:paraId="41B54446" w14:textId="4F56097F" w:rsidR="00A97670" w:rsidRPr="00A97670" w:rsidRDefault="00A97670" w:rsidP="00A97670">
            <w:pPr>
              <w:rPr>
                <w:rFonts w:ascii="Arial" w:hAnsi="Arial" w:cs="Arial"/>
                <w:sz w:val="16"/>
                <w:szCs w:val="16"/>
              </w:rPr>
            </w:pPr>
            <w:r>
              <w:rPr>
                <w:rFonts w:ascii="Arial" w:hAnsi="Arial" w:cs="Arial"/>
                <w:sz w:val="16"/>
                <w:szCs w:val="16"/>
              </w:rPr>
              <w:t>UPRAVIČENI PROGRAMI za</w:t>
            </w:r>
            <w:r w:rsidR="00AF0E66">
              <w:rPr>
                <w:rFonts w:ascii="Arial" w:hAnsi="Arial" w:cs="Arial"/>
                <w:sz w:val="16"/>
                <w:szCs w:val="16"/>
              </w:rPr>
              <w:t> </w:t>
            </w:r>
            <w:r>
              <w:rPr>
                <w:rFonts w:ascii="Arial" w:hAnsi="Arial" w:cs="Arial"/>
                <w:sz w:val="16"/>
                <w:szCs w:val="16"/>
              </w:rPr>
              <w:t>administrativne pisarne izobraževalne ustanove</w:t>
            </w:r>
          </w:p>
          <w:p w14:paraId="23111212" w14:textId="67479F40" w:rsidR="0011556F" w:rsidRPr="00EB6000" w:rsidRDefault="0011556F" w:rsidP="00A97670">
            <w:pPr>
              <w:pStyle w:val="ListParagraph"/>
              <w:numPr>
                <w:ilvl w:val="0"/>
                <w:numId w:val="36"/>
              </w:numPr>
              <w:spacing w:before="120"/>
              <w:ind w:left="180" w:hanging="180"/>
              <w:contextualSpacing w:val="0"/>
              <w:rPr>
                <w:rFonts w:ascii="Arial" w:hAnsi="Arial" w:cs="Arial"/>
                <w:sz w:val="16"/>
                <w:szCs w:val="16"/>
              </w:rPr>
            </w:pPr>
            <w:r>
              <w:rPr>
                <w:rFonts w:ascii="Arial" w:hAnsi="Arial" w:cs="Arial"/>
                <w:sz w:val="16"/>
                <w:szCs w:val="16"/>
              </w:rPr>
              <w:t>Academic Select Plus</w:t>
            </w:r>
          </w:p>
          <w:p w14:paraId="520855E6" w14:textId="3566F9F4" w:rsidR="00873AA2" w:rsidRPr="00EB6000" w:rsidRDefault="00873AA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0D3DE864" w14:textId="599C19C4" w:rsidR="00E06D79" w:rsidRPr="00EB6000" w:rsidRDefault="00077BC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Enrollment for Education Solutions (tako za osnovne šole ali vrtce kot tudi za višješolske ustanove)</w:t>
            </w:r>
          </w:p>
          <w:p w14:paraId="1B08F3C3" w14:textId="5038CA84"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Pogodba Get Genuine Windows – izobraževalna ustanova</w:t>
            </w:r>
          </w:p>
          <w:p w14:paraId="2DBE0E5C" w14:textId="5DA02401" w:rsidR="00082E37" w:rsidRPr="00EB600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Microsoftova pogodba s stranko (vključuje CSP)</w:t>
            </w:r>
          </w:p>
          <w:p w14:paraId="417C327E" w14:textId="77777777"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Naročniška pogodba Microsoft Online</w:t>
            </w:r>
          </w:p>
          <w:p w14:paraId="43EAD960" w14:textId="54A9DD85"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Pogodba o Microsoftovih izdelkih in storitvah</w:t>
            </w:r>
          </w:p>
          <w:p w14:paraId="23111216" w14:textId="00FB2323" w:rsidR="003B7352" w:rsidRPr="00EB6000" w:rsidRDefault="003B735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Education Solutions (tako za</w:t>
            </w:r>
            <w:r w:rsidR="00AC5A6C">
              <w:rPr>
                <w:rFonts w:ascii="Arial" w:hAnsi="Arial" w:cs="Arial"/>
                <w:sz w:val="16"/>
                <w:szCs w:val="16"/>
              </w:rPr>
              <w:t> </w:t>
            </w:r>
            <w:r>
              <w:rPr>
                <w:rFonts w:ascii="Arial" w:hAnsi="Arial" w:cs="Arial"/>
                <w:sz w:val="16"/>
                <w:szCs w:val="16"/>
              </w:rPr>
              <w:t>osnovne šole ali vrtce in</w:t>
            </w:r>
            <w:r w:rsidR="00AC5A6C">
              <w:rPr>
                <w:rFonts w:ascii="Arial" w:hAnsi="Arial" w:cs="Arial"/>
                <w:sz w:val="16"/>
                <w:szCs w:val="16"/>
              </w:rPr>
              <w:t> </w:t>
            </w:r>
            <w:r>
              <w:rPr>
                <w:rFonts w:ascii="Arial" w:hAnsi="Arial" w:cs="Arial"/>
                <w:sz w:val="16"/>
                <w:szCs w:val="16"/>
              </w:rPr>
              <w:t>višješolske ustanove)</w:t>
            </w:r>
          </w:p>
          <w:p w14:paraId="729247AD" w14:textId="6EEB8060" w:rsidR="00F24C55"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Pogodba School (osnovnošolsko in srednješolsko izobraževanje)</w:t>
            </w:r>
          </w:p>
          <w:p w14:paraId="23111217" w14:textId="6128D12D" w:rsidR="008A3FD4"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Licenčna pogodba Service</w:t>
            </w:r>
            <w:r w:rsidR="00575646">
              <w:rPr>
                <w:rFonts w:ascii="Arial" w:hAnsi="Arial" w:cs="Arial"/>
                <w:sz w:val="16"/>
                <w:szCs w:val="16"/>
              </w:rPr>
              <w:t> </w:t>
            </w:r>
            <w:r>
              <w:rPr>
                <w:rFonts w:ascii="Arial" w:hAnsi="Arial" w:cs="Arial"/>
                <w:sz w:val="16"/>
                <w:szCs w:val="16"/>
              </w:rPr>
              <w:t>Provider</w:t>
            </w:r>
          </w:p>
        </w:tc>
      </w:tr>
    </w:tbl>
    <w:p w14:paraId="5F77F99B" w14:textId="77777777" w:rsidR="00907547" w:rsidRPr="00907547" w:rsidRDefault="00907547" w:rsidP="00907547">
      <w:pPr>
        <w:spacing w:before="120"/>
        <w:rPr>
          <w:rFonts w:ascii="Arial" w:hAnsi="Arial" w:cs="Arial"/>
          <w:b/>
          <w:bCs/>
          <w:sz w:val="18"/>
          <w:szCs w:val="18"/>
        </w:rPr>
      </w:pPr>
      <w:r>
        <w:rPr>
          <w:rFonts w:ascii="Arial" w:hAnsi="Arial" w:cs="Arial"/>
          <w:b/>
          <w:bCs/>
          <w:sz w:val="18"/>
          <w:szCs w:val="18"/>
        </w:rPr>
        <w:t>Bolnišnice, sistemi zdravstvenega varstva in raziskovalni laboratoriji</w:t>
      </w:r>
    </w:p>
    <w:p w14:paraId="18AF9D4E" w14:textId="3BB92CA6" w:rsidR="00907547" w:rsidRPr="00EA7BAF" w:rsidRDefault="00907547" w:rsidP="00907547">
      <w:pPr>
        <w:spacing w:before="120"/>
        <w:jc w:val="both"/>
        <w:rPr>
          <w:rFonts w:ascii="Arial" w:hAnsi="Arial" w:cs="Arial"/>
          <w:sz w:val="16"/>
          <w:szCs w:val="16"/>
        </w:rPr>
      </w:pPr>
      <w:r>
        <w:rPr>
          <w:rFonts w:ascii="Arial" w:hAnsi="Arial" w:cs="Arial"/>
          <w:sz w:val="16"/>
          <w:szCs w:val="16"/>
        </w:rPr>
        <w:t>Bolnišnice, sistemi zdravstvenega varstva in raziskovalni laboratoriji (torej entiteta, ki želi pridobiti licenco za Microsoftove izdelke Academic Edition, vključno z neodvisnimi raziskovalnimi laboratoriji ali raziskovalnimi laboratoriji, ki so povezani upravičeno stranko v izobraževanju ali državno agencijo) ne izpolnjujejo pogojev za upravičene uporabnike v izobraževanju v poglavjih A in B zgoraj. Do pridobitve licenc za izdelke Academic Edition so upravičeni samo, če so v popolni lasti in upravljanju izobraževalne ustanove ali administrativne pisarne izobraževalne ustanove.</w:t>
      </w:r>
    </w:p>
    <w:p w14:paraId="243285B1" w14:textId="49F2B851" w:rsidR="00907547" w:rsidRPr="00EA7BAF" w:rsidRDefault="00907547" w:rsidP="00907547">
      <w:pPr>
        <w:spacing w:before="120"/>
        <w:jc w:val="both"/>
        <w:rPr>
          <w:rFonts w:ascii="Arial" w:hAnsi="Arial" w:cs="Arial"/>
          <w:sz w:val="16"/>
          <w:szCs w:val="16"/>
        </w:rPr>
      </w:pPr>
      <w:r>
        <w:rPr>
          <w:rFonts w:ascii="Arial" w:hAnsi="Arial" w:cs="Arial"/>
          <w:sz w:val="16"/>
          <w:szCs w:val="16"/>
        </w:rPr>
        <w:t>»V popolni lasti in upravljanju« pomeni, da je izobraževalna ustanova ali administrativna pisarna izobraževalne ustanove edini lastnik zadevne bolnišnice, sistema zdravstvenega varstva ali raziskovalnega laboratorija in edina pravna oseba, ki upravlja vsakodnevno poslovanje zadevne ustanove.</w:t>
      </w:r>
    </w:p>
    <w:p w14:paraId="7925588F" w14:textId="301F1A8B" w:rsidR="00873AA2" w:rsidRPr="0052338B" w:rsidRDefault="00907547" w:rsidP="00907547">
      <w:pPr>
        <w:spacing w:before="120"/>
        <w:jc w:val="both"/>
        <w:rPr>
          <w:rFonts w:ascii="Arial" w:hAnsi="Arial" w:cs="Arial"/>
          <w:sz w:val="18"/>
        </w:rPr>
      </w:pPr>
      <w:r>
        <w:rPr>
          <w:rFonts w:ascii="Arial" w:hAnsi="Arial" w:cs="Arial"/>
          <w:sz w:val="16"/>
          <w:szCs w:val="16"/>
        </w:rPr>
        <w:t>Upravičene bolnišnice, sistemi zdravstvenega varstva in raziskovalni laboratoriji bodo upravičeni do istih upravičenih programov, določenih v zgornjih razdelkih A in B za izobraževalno ustanovo ali administrativno pisarno izobraževalne ustanove, v katere popolni lasti in upravljanju so (ob upoštevanju morebitnih pogojev glede upravičenosti, ki morda veljajo za take programe). V</w:t>
      </w:r>
      <w:r w:rsidR="0063365F">
        <w:rPr>
          <w:rFonts w:ascii="Arial" w:hAnsi="Arial" w:cs="Arial"/>
          <w:sz w:val="16"/>
          <w:szCs w:val="16"/>
        </w:rPr>
        <w:t> </w:t>
      </w:r>
      <w:r>
        <w:rPr>
          <w:rFonts w:ascii="Arial" w:hAnsi="Arial" w:cs="Arial"/>
          <w:sz w:val="16"/>
          <w:szCs w:val="16"/>
        </w:rPr>
        <w:t>nobenem primeru jim NI dovoljen nakup pogodbe School in NE smejo biti vključeni v pogodbo School izobraževalne ustanove, tudi če so v popolni lasti in upravljanju izobraževalne ustanove.</w:t>
      </w:r>
    </w:p>
    <w:sectPr w:rsidR="00873AA2" w:rsidRPr="0052338B" w:rsidSect="002B0E40">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36762" w14:textId="77777777" w:rsidR="00812DD8" w:rsidRDefault="00812DD8">
      <w:r>
        <w:separator/>
      </w:r>
    </w:p>
  </w:endnote>
  <w:endnote w:type="continuationSeparator" w:id="0">
    <w:p w14:paraId="60FD099E" w14:textId="77777777" w:rsidR="00812DD8" w:rsidRDefault="0081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730A28" w:rsidRPr="00530318" w14:paraId="1B65FC48" w14:textId="77777777" w:rsidTr="000B55F4">
      <w:trPr>
        <w:jc w:val="center"/>
      </w:trPr>
      <w:tc>
        <w:tcPr>
          <w:tcW w:w="4956" w:type="dxa"/>
        </w:tcPr>
        <w:p w14:paraId="47FC72B2" w14:textId="77777777" w:rsidR="00730A28" w:rsidRPr="00530318" w:rsidRDefault="00730A28" w:rsidP="00730A28">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SLN</w:t>
          </w:r>
          <w:r w:rsidRPr="00530318">
            <w:rPr>
              <w:rFonts w:ascii="Arial" w:hAnsi="Arial" w:cs="Arial"/>
              <w:sz w:val="16"/>
              <w:szCs w:val="16"/>
            </w:rPr>
            <w:t>)(</w:t>
          </w:r>
          <w:r>
            <w:rPr>
              <w:rFonts w:ascii="Arial" w:hAnsi="Arial" w:cs="Arial"/>
              <w:sz w:val="16"/>
              <w:szCs w:val="16"/>
            </w:rPr>
            <w:t>Aug2023)</w:t>
          </w:r>
        </w:p>
      </w:tc>
      <w:tc>
        <w:tcPr>
          <w:tcW w:w="4073" w:type="dxa"/>
        </w:tcPr>
        <w:p w14:paraId="3AC8E783" w14:textId="77777777" w:rsidR="00730A28" w:rsidRDefault="00730A28" w:rsidP="00730A28">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4866660E" w14:textId="77777777" w:rsidR="00730A28" w:rsidRPr="00530318" w:rsidRDefault="00730A28" w:rsidP="00730A28">
          <w:pPr>
            <w:jc w:val="right"/>
            <w:rPr>
              <w:rFonts w:ascii="Arial" w:hAnsi="Arial" w:cs="Arial"/>
              <w:sz w:val="16"/>
              <w:szCs w:val="16"/>
            </w:rPr>
          </w:pPr>
          <w:r>
            <w:rPr>
              <w:rFonts w:ascii="Arial" w:hAnsi="Arial" w:cs="Arial"/>
              <w:sz w:val="16"/>
              <w:szCs w:val="16"/>
            </w:rPr>
            <w:t>Document X20-11691</w:t>
          </w:r>
        </w:p>
      </w:tc>
    </w:tr>
  </w:tbl>
  <w:p w14:paraId="328C1DCA" w14:textId="77777777" w:rsidR="00730A28" w:rsidRPr="004D4BCB" w:rsidRDefault="00730A28" w:rsidP="00730A28">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730A28" w:rsidRPr="00530318" w14:paraId="074ADE77" w14:textId="77777777" w:rsidTr="000B55F4">
      <w:trPr>
        <w:jc w:val="center"/>
      </w:trPr>
      <w:tc>
        <w:tcPr>
          <w:tcW w:w="4956" w:type="dxa"/>
        </w:tcPr>
        <w:p w14:paraId="1011C2DB" w14:textId="3F89EDD8" w:rsidR="00730A28" w:rsidRPr="00530318" w:rsidRDefault="00730A28" w:rsidP="00730A28">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SLN</w:t>
          </w:r>
          <w:r w:rsidRPr="00530318">
            <w:rPr>
              <w:rFonts w:ascii="Arial" w:hAnsi="Arial" w:cs="Arial"/>
              <w:sz w:val="16"/>
              <w:szCs w:val="16"/>
            </w:rPr>
            <w:t>)(</w:t>
          </w:r>
          <w:r>
            <w:rPr>
              <w:rFonts w:ascii="Arial" w:hAnsi="Arial" w:cs="Arial"/>
              <w:sz w:val="16"/>
              <w:szCs w:val="16"/>
            </w:rPr>
            <w:t>Aug2023)</w:t>
          </w:r>
        </w:p>
      </w:tc>
      <w:tc>
        <w:tcPr>
          <w:tcW w:w="4073" w:type="dxa"/>
        </w:tcPr>
        <w:p w14:paraId="146D06E8" w14:textId="77777777" w:rsidR="00730A28" w:rsidRDefault="00730A28" w:rsidP="00730A28">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35AEA05D" w14:textId="77777777" w:rsidR="00730A28" w:rsidRPr="00530318" w:rsidRDefault="00730A28" w:rsidP="00730A28">
          <w:pPr>
            <w:jc w:val="right"/>
            <w:rPr>
              <w:rFonts w:ascii="Arial" w:hAnsi="Arial" w:cs="Arial"/>
              <w:sz w:val="16"/>
              <w:szCs w:val="16"/>
            </w:rPr>
          </w:pPr>
          <w:r>
            <w:rPr>
              <w:rFonts w:ascii="Arial" w:hAnsi="Arial" w:cs="Arial"/>
              <w:sz w:val="16"/>
              <w:szCs w:val="16"/>
            </w:rPr>
            <w:t>Document X20-11691</w:t>
          </w:r>
        </w:p>
      </w:tc>
    </w:tr>
  </w:tbl>
  <w:p w14:paraId="5E452411" w14:textId="77777777" w:rsidR="00730A28" w:rsidRPr="004D4BCB" w:rsidRDefault="00730A28" w:rsidP="00730A2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5414D" w14:textId="77777777" w:rsidR="00812DD8" w:rsidRDefault="00812DD8">
      <w:r>
        <w:separator/>
      </w:r>
    </w:p>
  </w:footnote>
  <w:footnote w:type="continuationSeparator" w:id="0">
    <w:p w14:paraId="52774E1A" w14:textId="77777777" w:rsidR="00812DD8" w:rsidRDefault="00812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EF5E" w14:textId="63E7E98A" w:rsidR="00841FDF" w:rsidRDefault="00000000">
    <w:pPr>
      <w:pStyle w:val="Header"/>
    </w:pPr>
    <w:r>
      <w:pict w14:anchorId="52F73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2" o:spid="_x0000_s1026" type="#_x0000_t75" style="position:absolute;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71AA256D" w:rsidR="00841FDF" w:rsidRDefault="00000000" w:rsidP="00646F0D">
    <w:pPr>
      <w:pStyle w:val="Header"/>
      <w:jc w:val="right"/>
    </w:pPr>
    <w:r>
      <w:pict w14:anchorId="276AB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3" o:spid="_x0000_s1027"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0664B629" w:rsidR="00841FDF" w:rsidRDefault="00000000" w:rsidP="00646F0D">
    <w:pPr>
      <w:pStyle w:val="Header"/>
      <w:jc w:val="right"/>
    </w:pPr>
    <w:r>
      <w:pict w14:anchorId="60ACE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1" o:spid="_x0000_s1025"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496993">
      <w:rPr>
        <w:noProof/>
      </w:rPr>
      <w:drawing>
        <wp:anchor distT="0" distB="0" distL="114300" distR="114300" simplePos="0" relativeHeight="251659264" behindDoc="0" locked="0" layoutInCell="1" allowOverlap="1" wp14:anchorId="30E5F7AB" wp14:editId="0BBACC0F">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anchor distT="0" distB="0" distL="114300" distR="114300" simplePos="0" relativeHeight="251658240" behindDoc="0" locked="0" layoutInCell="1" allowOverlap="1" wp14:anchorId="0657AD89" wp14:editId="5A22F70D">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0E0"/>
    <w:multiLevelType w:val="hybridMultilevel"/>
    <w:tmpl w:val="9AAC3062"/>
    <w:lvl w:ilvl="0" w:tplc="7EB0CDD2">
      <w:start w:val="1"/>
      <w:numFmt w:val="lowerRoman"/>
      <w:lvlText w:val="(%1)"/>
      <w:lvlJc w:val="left"/>
      <w:pPr>
        <w:ind w:left="827" w:hanging="360"/>
      </w:pPr>
      <w:rPr>
        <w:rFonts w:hint="default"/>
        <w:b/>
        <w:bCs/>
        <w:i w:val="0"/>
        <w:color w:val="000000" w:themeColor="text1"/>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E67C8"/>
    <w:multiLevelType w:val="hybridMultilevel"/>
    <w:tmpl w:val="D9D8B6BC"/>
    <w:lvl w:ilvl="0" w:tplc="FFFFFFFF">
      <w:start w:val="1"/>
      <w:numFmt w:val="lowerRoman"/>
      <w:lvlText w:val="(%1)"/>
      <w:lvlJc w:val="left"/>
      <w:pPr>
        <w:ind w:left="720" w:hanging="360"/>
      </w:pPr>
      <w:rPr>
        <w:rFonts w:hint="default"/>
        <w:b/>
        <w:bCs/>
        <w:i w:val="0"/>
        <w:color w:val="0033CC"/>
      </w:rPr>
    </w:lvl>
    <w:lvl w:ilvl="1" w:tplc="D708C7C2">
      <w:start w:val="1"/>
      <w:numFmt w:val="lowerRoman"/>
      <w:lvlText w:val="(%2)"/>
      <w:lvlJc w:val="left"/>
      <w:pPr>
        <w:ind w:left="1440" w:hanging="360"/>
      </w:pPr>
      <w:rPr>
        <w:rFonts w:hint="default"/>
        <w:b/>
        <w:bCs/>
        <w:i w:val="0"/>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00B83"/>
    <w:multiLevelType w:val="hybridMultilevel"/>
    <w:tmpl w:val="C20A70F0"/>
    <w:lvl w:ilvl="0" w:tplc="70828ECA">
      <w:start w:val="1"/>
      <w:numFmt w:val="lowerRoman"/>
      <w:lvlText w:val="(%1)"/>
      <w:lvlJc w:val="left"/>
      <w:pPr>
        <w:ind w:left="720" w:hanging="360"/>
      </w:pPr>
      <w:rPr>
        <w:rFonts w:hint="default"/>
        <w:b/>
        <w:bCs/>
        <w:i w:val="0"/>
        <w:color w:val="0033C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C4462"/>
    <w:multiLevelType w:val="hybridMultilevel"/>
    <w:tmpl w:val="2A36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985A22"/>
    <w:multiLevelType w:val="hybridMultilevel"/>
    <w:tmpl w:val="4296CF60"/>
    <w:lvl w:ilvl="0" w:tplc="7F289980">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D322C"/>
    <w:multiLevelType w:val="hybridMultilevel"/>
    <w:tmpl w:val="F8F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A2E69"/>
    <w:multiLevelType w:val="hybridMultilevel"/>
    <w:tmpl w:val="0E9CC6FC"/>
    <w:lvl w:ilvl="0" w:tplc="3E4AFB78">
      <w:start w:val="1"/>
      <w:numFmt w:val="lowerRoman"/>
      <w:lvlText w:val="(%1)"/>
      <w:lvlJc w:val="left"/>
      <w:pPr>
        <w:ind w:left="827" w:hanging="720"/>
      </w:pPr>
      <w:rPr>
        <w:rFonts w:hint="default"/>
        <w:b/>
        <w:bCs/>
      </w:rPr>
    </w:lvl>
    <w:lvl w:ilvl="1" w:tplc="23863F46">
      <w:start w:val="1"/>
      <w:numFmt w:val="lowerLetter"/>
      <w:lvlText w:val="(%2)"/>
      <w:lvlJc w:val="left"/>
      <w:pPr>
        <w:ind w:left="1187" w:hanging="360"/>
      </w:pPr>
      <w:rPr>
        <w:rFonts w:hint="default"/>
      </w:r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236182">
    <w:abstractNumId w:val="13"/>
  </w:num>
  <w:num w:numId="2" w16cid:durableId="1134327604">
    <w:abstractNumId w:val="37"/>
  </w:num>
  <w:num w:numId="3" w16cid:durableId="114058245">
    <w:abstractNumId w:val="22"/>
  </w:num>
  <w:num w:numId="4" w16cid:durableId="129247022">
    <w:abstractNumId w:val="28"/>
  </w:num>
  <w:num w:numId="5" w16cid:durableId="1684941027">
    <w:abstractNumId w:val="2"/>
  </w:num>
  <w:num w:numId="6" w16cid:durableId="648755727">
    <w:abstractNumId w:val="5"/>
  </w:num>
  <w:num w:numId="7" w16cid:durableId="1935549725">
    <w:abstractNumId w:val="23"/>
  </w:num>
  <w:num w:numId="8" w16cid:durableId="518274414">
    <w:abstractNumId w:val="40"/>
  </w:num>
  <w:num w:numId="9" w16cid:durableId="1420834561">
    <w:abstractNumId w:val="34"/>
  </w:num>
  <w:num w:numId="10" w16cid:durableId="999041392">
    <w:abstractNumId w:val="36"/>
  </w:num>
  <w:num w:numId="11" w16cid:durableId="1095784117">
    <w:abstractNumId w:val="30"/>
  </w:num>
  <w:num w:numId="12" w16cid:durableId="1061633822">
    <w:abstractNumId w:val="25"/>
  </w:num>
  <w:num w:numId="13" w16cid:durableId="1442188472">
    <w:abstractNumId w:val="8"/>
  </w:num>
  <w:num w:numId="14" w16cid:durableId="1100678873">
    <w:abstractNumId w:val="19"/>
  </w:num>
  <w:num w:numId="15" w16cid:durableId="169610033">
    <w:abstractNumId w:val="31"/>
  </w:num>
  <w:num w:numId="16" w16cid:durableId="1397312501">
    <w:abstractNumId w:val="38"/>
  </w:num>
  <w:num w:numId="17" w16cid:durableId="769812342">
    <w:abstractNumId w:val="6"/>
  </w:num>
  <w:num w:numId="18" w16cid:durableId="325862768">
    <w:abstractNumId w:val="41"/>
  </w:num>
  <w:num w:numId="19" w16cid:durableId="501548437">
    <w:abstractNumId w:val="18"/>
  </w:num>
  <w:num w:numId="20" w16cid:durableId="772238609">
    <w:abstractNumId w:val="0"/>
  </w:num>
  <w:num w:numId="21" w16cid:durableId="500508248">
    <w:abstractNumId w:val="21"/>
  </w:num>
  <w:num w:numId="22" w16cid:durableId="537594716">
    <w:abstractNumId w:val="17"/>
  </w:num>
  <w:num w:numId="23" w16cid:durableId="1639531462">
    <w:abstractNumId w:val="35"/>
  </w:num>
  <w:num w:numId="24" w16cid:durableId="1746799900">
    <w:abstractNumId w:val="26"/>
  </w:num>
  <w:num w:numId="25" w16cid:durableId="475487030">
    <w:abstractNumId w:val="1"/>
  </w:num>
  <w:num w:numId="26" w16cid:durableId="1949504262">
    <w:abstractNumId w:val="3"/>
  </w:num>
  <w:num w:numId="27" w16cid:durableId="259797959">
    <w:abstractNumId w:val="11"/>
  </w:num>
  <w:num w:numId="28" w16cid:durableId="408508111">
    <w:abstractNumId w:val="20"/>
  </w:num>
  <w:num w:numId="29" w16cid:durableId="1580018352">
    <w:abstractNumId w:val="32"/>
  </w:num>
  <w:num w:numId="30" w16cid:durableId="1405647031">
    <w:abstractNumId w:val="39"/>
  </w:num>
  <w:num w:numId="31" w16cid:durableId="848570307">
    <w:abstractNumId w:val="12"/>
  </w:num>
  <w:num w:numId="32" w16cid:durableId="640696760">
    <w:abstractNumId w:val="33"/>
  </w:num>
  <w:num w:numId="33" w16cid:durableId="1659381296">
    <w:abstractNumId w:val="24"/>
  </w:num>
  <w:num w:numId="34" w16cid:durableId="1470321776">
    <w:abstractNumId w:val="15"/>
  </w:num>
  <w:num w:numId="35" w16cid:durableId="1633974077">
    <w:abstractNumId w:val="10"/>
  </w:num>
  <w:num w:numId="36" w16cid:durableId="1910768821">
    <w:abstractNumId w:val="27"/>
  </w:num>
  <w:num w:numId="37" w16cid:durableId="342587110">
    <w:abstractNumId w:val="14"/>
  </w:num>
  <w:num w:numId="38" w16cid:durableId="1908613258">
    <w:abstractNumId w:val="4"/>
  </w:num>
  <w:num w:numId="39" w16cid:durableId="308635345">
    <w:abstractNumId w:val="16"/>
  </w:num>
  <w:num w:numId="40" w16cid:durableId="582766283">
    <w:abstractNumId w:val="29"/>
  </w:num>
  <w:num w:numId="41" w16cid:durableId="2128548374">
    <w:abstractNumId w:val="9"/>
  </w:num>
  <w:num w:numId="42" w16cid:durableId="106930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223A9"/>
    <w:rsid w:val="00036309"/>
    <w:rsid w:val="00044D04"/>
    <w:rsid w:val="00051E59"/>
    <w:rsid w:val="00054979"/>
    <w:rsid w:val="00062531"/>
    <w:rsid w:val="0006608F"/>
    <w:rsid w:val="00067502"/>
    <w:rsid w:val="00077BC7"/>
    <w:rsid w:val="00082E37"/>
    <w:rsid w:val="00090B9A"/>
    <w:rsid w:val="00091D42"/>
    <w:rsid w:val="000A4937"/>
    <w:rsid w:val="000A66FF"/>
    <w:rsid w:val="000A6714"/>
    <w:rsid w:val="000B656F"/>
    <w:rsid w:val="000B6EB0"/>
    <w:rsid w:val="000C4276"/>
    <w:rsid w:val="000D0CD0"/>
    <w:rsid w:val="000D66B2"/>
    <w:rsid w:val="000E0547"/>
    <w:rsid w:val="000E35C0"/>
    <w:rsid w:val="000F4B83"/>
    <w:rsid w:val="001002CB"/>
    <w:rsid w:val="001131DE"/>
    <w:rsid w:val="00114544"/>
    <w:rsid w:val="0011556F"/>
    <w:rsid w:val="00123BDA"/>
    <w:rsid w:val="00132643"/>
    <w:rsid w:val="00156924"/>
    <w:rsid w:val="00192DCC"/>
    <w:rsid w:val="0019381D"/>
    <w:rsid w:val="001A13E8"/>
    <w:rsid w:val="001A2EC4"/>
    <w:rsid w:val="001A4FA5"/>
    <w:rsid w:val="001C3519"/>
    <w:rsid w:val="001C7554"/>
    <w:rsid w:val="001E02BF"/>
    <w:rsid w:val="001E124D"/>
    <w:rsid w:val="001F0188"/>
    <w:rsid w:val="0021499D"/>
    <w:rsid w:val="0023520B"/>
    <w:rsid w:val="00242607"/>
    <w:rsid w:val="00247CC7"/>
    <w:rsid w:val="00265D2F"/>
    <w:rsid w:val="00296B92"/>
    <w:rsid w:val="002A6AB8"/>
    <w:rsid w:val="002B0E40"/>
    <w:rsid w:val="002D3E13"/>
    <w:rsid w:val="002E335D"/>
    <w:rsid w:val="002E3B56"/>
    <w:rsid w:val="002F04C2"/>
    <w:rsid w:val="002F139E"/>
    <w:rsid w:val="00304307"/>
    <w:rsid w:val="0030752E"/>
    <w:rsid w:val="00325618"/>
    <w:rsid w:val="00350050"/>
    <w:rsid w:val="00353A24"/>
    <w:rsid w:val="00357209"/>
    <w:rsid w:val="00380219"/>
    <w:rsid w:val="003A720D"/>
    <w:rsid w:val="003B1BD0"/>
    <w:rsid w:val="003B4F36"/>
    <w:rsid w:val="003B7352"/>
    <w:rsid w:val="003E7B74"/>
    <w:rsid w:val="003F63FF"/>
    <w:rsid w:val="004151D3"/>
    <w:rsid w:val="00442E95"/>
    <w:rsid w:val="0045763B"/>
    <w:rsid w:val="004665D2"/>
    <w:rsid w:val="004741F7"/>
    <w:rsid w:val="00477294"/>
    <w:rsid w:val="004828E3"/>
    <w:rsid w:val="00483EA2"/>
    <w:rsid w:val="00487363"/>
    <w:rsid w:val="00492050"/>
    <w:rsid w:val="00496993"/>
    <w:rsid w:val="004B1B16"/>
    <w:rsid w:val="004B250A"/>
    <w:rsid w:val="004B35D1"/>
    <w:rsid w:val="004C5FF1"/>
    <w:rsid w:val="004D3B16"/>
    <w:rsid w:val="004D4BCB"/>
    <w:rsid w:val="004F1A7B"/>
    <w:rsid w:val="004F2A73"/>
    <w:rsid w:val="005046C9"/>
    <w:rsid w:val="00507C4A"/>
    <w:rsid w:val="005103CB"/>
    <w:rsid w:val="00513063"/>
    <w:rsid w:val="0052338B"/>
    <w:rsid w:val="0053246A"/>
    <w:rsid w:val="005407A1"/>
    <w:rsid w:val="005416E0"/>
    <w:rsid w:val="005423E5"/>
    <w:rsid w:val="00546EC0"/>
    <w:rsid w:val="00562882"/>
    <w:rsid w:val="00565294"/>
    <w:rsid w:val="00566192"/>
    <w:rsid w:val="005702B7"/>
    <w:rsid w:val="00575646"/>
    <w:rsid w:val="00582EBB"/>
    <w:rsid w:val="005A149E"/>
    <w:rsid w:val="005A1EE0"/>
    <w:rsid w:val="005A74D1"/>
    <w:rsid w:val="005C174C"/>
    <w:rsid w:val="005C79D0"/>
    <w:rsid w:val="005D084A"/>
    <w:rsid w:val="005D25A6"/>
    <w:rsid w:val="005D3FD9"/>
    <w:rsid w:val="005D50A6"/>
    <w:rsid w:val="005E5A33"/>
    <w:rsid w:val="005F5F2B"/>
    <w:rsid w:val="00605D2E"/>
    <w:rsid w:val="006073B6"/>
    <w:rsid w:val="00607F99"/>
    <w:rsid w:val="00621D52"/>
    <w:rsid w:val="00624BB1"/>
    <w:rsid w:val="00625190"/>
    <w:rsid w:val="00625C19"/>
    <w:rsid w:val="0063365F"/>
    <w:rsid w:val="00636CB0"/>
    <w:rsid w:val="006425DC"/>
    <w:rsid w:val="00646B52"/>
    <w:rsid w:val="00646F0D"/>
    <w:rsid w:val="00657927"/>
    <w:rsid w:val="006650F9"/>
    <w:rsid w:val="00671ADF"/>
    <w:rsid w:val="00676621"/>
    <w:rsid w:val="00693C2D"/>
    <w:rsid w:val="00695C2C"/>
    <w:rsid w:val="006A679D"/>
    <w:rsid w:val="006B1921"/>
    <w:rsid w:val="006C0007"/>
    <w:rsid w:val="006D4167"/>
    <w:rsid w:val="006D63D8"/>
    <w:rsid w:val="006E34D4"/>
    <w:rsid w:val="006E7E85"/>
    <w:rsid w:val="006F0006"/>
    <w:rsid w:val="006F538E"/>
    <w:rsid w:val="007119E9"/>
    <w:rsid w:val="00714698"/>
    <w:rsid w:val="00716D88"/>
    <w:rsid w:val="00726AC7"/>
    <w:rsid w:val="00730A28"/>
    <w:rsid w:val="00731075"/>
    <w:rsid w:val="007319DA"/>
    <w:rsid w:val="007404EE"/>
    <w:rsid w:val="0074465A"/>
    <w:rsid w:val="0074598A"/>
    <w:rsid w:val="00754C7B"/>
    <w:rsid w:val="0075650B"/>
    <w:rsid w:val="00757664"/>
    <w:rsid w:val="00762A46"/>
    <w:rsid w:val="007717A3"/>
    <w:rsid w:val="0077680B"/>
    <w:rsid w:val="00781EFE"/>
    <w:rsid w:val="007A38D9"/>
    <w:rsid w:val="007A53C2"/>
    <w:rsid w:val="007B5DE7"/>
    <w:rsid w:val="007C0ECD"/>
    <w:rsid w:val="007D442F"/>
    <w:rsid w:val="00800615"/>
    <w:rsid w:val="00804653"/>
    <w:rsid w:val="00811024"/>
    <w:rsid w:val="00812DD8"/>
    <w:rsid w:val="00841FDF"/>
    <w:rsid w:val="00853BE3"/>
    <w:rsid w:val="00853D95"/>
    <w:rsid w:val="0086033E"/>
    <w:rsid w:val="00866031"/>
    <w:rsid w:val="00873AA2"/>
    <w:rsid w:val="00875183"/>
    <w:rsid w:val="008823CD"/>
    <w:rsid w:val="008A1148"/>
    <w:rsid w:val="008A3FD4"/>
    <w:rsid w:val="008B2570"/>
    <w:rsid w:val="008C0777"/>
    <w:rsid w:val="008C2A71"/>
    <w:rsid w:val="008D11C0"/>
    <w:rsid w:val="008D277C"/>
    <w:rsid w:val="008E6810"/>
    <w:rsid w:val="008F0F61"/>
    <w:rsid w:val="00907547"/>
    <w:rsid w:val="00924902"/>
    <w:rsid w:val="00924DDA"/>
    <w:rsid w:val="00931190"/>
    <w:rsid w:val="009505F6"/>
    <w:rsid w:val="00981F04"/>
    <w:rsid w:val="0098372D"/>
    <w:rsid w:val="0099089B"/>
    <w:rsid w:val="009A1B8C"/>
    <w:rsid w:val="009A3006"/>
    <w:rsid w:val="009C2702"/>
    <w:rsid w:val="009C422E"/>
    <w:rsid w:val="009D0F98"/>
    <w:rsid w:val="009F25D6"/>
    <w:rsid w:val="009F72D0"/>
    <w:rsid w:val="00A035BC"/>
    <w:rsid w:val="00A13ADC"/>
    <w:rsid w:val="00A2705E"/>
    <w:rsid w:val="00A5311D"/>
    <w:rsid w:val="00A5509B"/>
    <w:rsid w:val="00A62E9D"/>
    <w:rsid w:val="00A97670"/>
    <w:rsid w:val="00AB231B"/>
    <w:rsid w:val="00AC180A"/>
    <w:rsid w:val="00AC5A6C"/>
    <w:rsid w:val="00AD5441"/>
    <w:rsid w:val="00AE2783"/>
    <w:rsid w:val="00AE404E"/>
    <w:rsid w:val="00AF0E66"/>
    <w:rsid w:val="00AF364E"/>
    <w:rsid w:val="00B136B8"/>
    <w:rsid w:val="00B20423"/>
    <w:rsid w:val="00B237C7"/>
    <w:rsid w:val="00B26076"/>
    <w:rsid w:val="00B26AB5"/>
    <w:rsid w:val="00B53479"/>
    <w:rsid w:val="00B72AA2"/>
    <w:rsid w:val="00B81E4B"/>
    <w:rsid w:val="00B86928"/>
    <w:rsid w:val="00B90CE0"/>
    <w:rsid w:val="00B90FEA"/>
    <w:rsid w:val="00B92C84"/>
    <w:rsid w:val="00BA0903"/>
    <w:rsid w:val="00BB615E"/>
    <w:rsid w:val="00BC36C8"/>
    <w:rsid w:val="00BD0002"/>
    <w:rsid w:val="00BD55A0"/>
    <w:rsid w:val="00BD6448"/>
    <w:rsid w:val="00BD7570"/>
    <w:rsid w:val="00BE1F7C"/>
    <w:rsid w:val="00BF5456"/>
    <w:rsid w:val="00BF5939"/>
    <w:rsid w:val="00BF5F01"/>
    <w:rsid w:val="00C07237"/>
    <w:rsid w:val="00C13FAB"/>
    <w:rsid w:val="00C4174A"/>
    <w:rsid w:val="00C52C41"/>
    <w:rsid w:val="00C53AF1"/>
    <w:rsid w:val="00C801C6"/>
    <w:rsid w:val="00C80249"/>
    <w:rsid w:val="00C8143B"/>
    <w:rsid w:val="00C93D3B"/>
    <w:rsid w:val="00C9536E"/>
    <w:rsid w:val="00C960C9"/>
    <w:rsid w:val="00C9714C"/>
    <w:rsid w:val="00CB19D7"/>
    <w:rsid w:val="00CB472B"/>
    <w:rsid w:val="00CB644A"/>
    <w:rsid w:val="00CC1132"/>
    <w:rsid w:val="00CD12A3"/>
    <w:rsid w:val="00CF0526"/>
    <w:rsid w:val="00CF3A53"/>
    <w:rsid w:val="00D23B62"/>
    <w:rsid w:val="00D32D9B"/>
    <w:rsid w:val="00D3447D"/>
    <w:rsid w:val="00D51539"/>
    <w:rsid w:val="00D55B42"/>
    <w:rsid w:val="00D62642"/>
    <w:rsid w:val="00D74CB7"/>
    <w:rsid w:val="00DA0BC3"/>
    <w:rsid w:val="00DA13E8"/>
    <w:rsid w:val="00DB4749"/>
    <w:rsid w:val="00DB50A9"/>
    <w:rsid w:val="00DC305F"/>
    <w:rsid w:val="00DF2931"/>
    <w:rsid w:val="00E06D79"/>
    <w:rsid w:val="00E079C5"/>
    <w:rsid w:val="00E34950"/>
    <w:rsid w:val="00E34A76"/>
    <w:rsid w:val="00E41A25"/>
    <w:rsid w:val="00E601DA"/>
    <w:rsid w:val="00E65B44"/>
    <w:rsid w:val="00E8079B"/>
    <w:rsid w:val="00E90B76"/>
    <w:rsid w:val="00EA7BAF"/>
    <w:rsid w:val="00EB520B"/>
    <w:rsid w:val="00EB6000"/>
    <w:rsid w:val="00EB6A54"/>
    <w:rsid w:val="00EE0A53"/>
    <w:rsid w:val="00EE42B7"/>
    <w:rsid w:val="00EE7505"/>
    <w:rsid w:val="00EE792F"/>
    <w:rsid w:val="00EF1D4C"/>
    <w:rsid w:val="00EF33D2"/>
    <w:rsid w:val="00F01066"/>
    <w:rsid w:val="00F12066"/>
    <w:rsid w:val="00F20DA7"/>
    <w:rsid w:val="00F24C55"/>
    <w:rsid w:val="00F27C25"/>
    <w:rsid w:val="00F371CA"/>
    <w:rsid w:val="00F45A2E"/>
    <w:rsid w:val="00F56948"/>
    <w:rsid w:val="00F74AFC"/>
    <w:rsid w:val="00F75A28"/>
    <w:rsid w:val="00F93E58"/>
    <w:rsid w:val="00FA646D"/>
    <w:rsid w:val="00FB2723"/>
    <w:rsid w:val="00FB2B1D"/>
    <w:rsid w:val="00FB3DD9"/>
    <w:rsid w:val="00FC4BF5"/>
    <w:rsid w:val="00FE4E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teMZ5QIip/p17flcOOo8SmNuzHg=" w:salt="jiXUTpf3TQJYJpoOGRSBM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sl-SI" w:eastAsia="sl-SI" w:bidi="sl-SI"/>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link w:val="CommentTextChar"/>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customStyle="1" w:styleId="CommentTextChar">
    <w:name w:val="Comment Text Char"/>
    <w:basedOn w:val="DefaultParagraphFont"/>
    <w:link w:val="CommentText"/>
    <w:semiHidden/>
    <w:rsid w:val="00353A24"/>
    <w:rPr>
      <w:rFonts w:eastAsia="Times New Roman"/>
    </w:rPr>
  </w:style>
  <w:style w:type="paragraph" w:styleId="Revision">
    <w:name w:val="Revision"/>
    <w:hidden/>
    <w:uiPriority w:val="99"/>
    <w:semiHidden/>
    <w:rsid w:val="004828E3"/>
    <w:rPr>
      <w:rFonts w:eastAsia="Times New Roman"/>
    </w:rPr>
  </w:style>
  <w:style w:type="character" w:customStyle="1" w:styleId="LogoportDoNotTranslate">
    <w:name w:val="LogoportDoNotTranslate"/>
    <w:rsid w:val="00FB2723"/>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 w:id="17945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3C90894748D243A42BDCF9FFE4E474" ma:contentTypeVersion="39" ma:contentTypeDescription="Create a new document." ma:contentTypeScope="" ma:versionID="9a106d8b34fe06fcfd3c310c11cfb5a0">
  <xsd:schema xmlns:xsd="http://www.w3.org/2001/XMLSchema" xmlns:xs="http://www.w3.org/2001/XMLSchema" xmlns:p="http://schemas.microsoft.com/office/2006/metadata/properties" xmlns:ns1="http://schemas.microsoft.com/sharepoint/v3" xmlns:ns2="0a8381dc-1b85-4d88-97cf-60216bd8cae2" xmlns:ns3="11db8851-2a85-4b20-b806-1ca056f2d1f5" xmlns:ns4="230e9df3-be65-4c73-a93b-d1236ebd677e" targetNamespace="http://schemas.microsoft.com/office/2006/metadata/properties" ma:root="true" ma:fieldsID="87c09a37999adf0482e25ef9b948f9f8" ns1:_="" ns2:_="" ns3:_="" ns4:_="">
    <xsd:import namespace="http://schemas.microsoft.com/sharepoint/v3"/>
    <xsd:import namespace="0a8381dc-1b85-4d88-97cf-60216bd8cae2"/>
    <xsd:import namespace="11db8851-2a85-4b20-b806-1ca056f2d1f5"/>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81dc-1b85-4d88-97cf-60216bd8c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ocTags" ma:index="23" nillable="true" ma:displayName="MediaServiceDocTags" ma:hidden="true" ma:internalName="MediaServiceDocTag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b8851-2a85-4b20-b806-1ca056f2d1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87c3d9-d1dc-4913-a3f5-652cf54f51a3}" ma:internalName="TaxCatchAll" ma:showField="CatchAllData" ma:web="11db8851-2a85-4b20-b806-1ca056f2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0a8381dc-1b85-4d88-97cf-60216bd8cae2" xsi:nil="true"/>
    <_ip_UnifiedCompliancePolicyUIAction xmlns="http://schemas.microsoft.com/sharepoint/v3" xsi:nil="true"/>
    <_ip_UnifiedCompliancePolicyProperties xmlns="http://schemas.microsoft.com/sharepoint/v3" xsi:nil="true"/>
    <TaxCatchAll xmlns="230e9df3-be65-4c73-a93b-d1236ebd677e"/>
  </documentManagement>
</p:properties>
</file>

<file path=customXml/itemProps1.xml><?xml version="1.0" encoding="utf-8"?>
<ds:datastoreItem xmlns:ds="http://schemas.openxmlformats.org/officeDocument/2006/customXml" ds:itemID="{46CDCCED-FFA5-4489-8517-B8F43393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81dc-1b85-4d88-97cf-60216bd8cae2"/>
    <ds:schemaRef ds:uri="11db8851-2a85-4b20-b806-1ca056f2d1f5"/>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94D9D-8032-4D14-A3A3-F7A1531088BE}">
  <ds:schemaRefs>
    <ds:schemaRef ds:uri="http://schemas.microsoft.com/sharepoint/v3/contenttype/forms"/>
  </ds:schemaRefs>
</ds:datastoreItem>
</file>

<file path=customXml/itemProps3.xml><?xml version="1.0" encoding="utf-8"?>
<ds:datastoreItem xmlns:ds="http://schemas.openxmlformats.org/officeDocument/2006/customXml" ds:itemID="{23CCEA86-B197-4165-9398-F0192F817864}">
  <ds:schemaRefs>
    <ds:schemaRef ds:uri="http://schemas.openxmlformats.org/officeDocument/2006/bibliography"/>
  </ds:schemaRefs>
</ds:datastoreItem>
</file>

<file path=customXml/itemProps4.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0a8381dc-1b85-4d88-97cf-60216bd8cae2"/>
    <ds:schemaRef ds:uri="http://schemas.microsoft.com/sharepoint/v3"/>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2</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6076</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Tikare, Shubham</cp:lastModifiedBy>
  <cp:revision>59</cp:revision>
  <cp:lastPrinted>2023-08-16T16:04:00Z</cp:lastPrinted>
  <dcterms:created xsi:type="dcterms:W3CDTF">2023-08-04T23:30:00Z</dcterms:created>
  <dcterms:modified xsi:type="dcterms:W3CDTF">2023-08-16T16:04:00Z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0x0101008C3C90894748D243A42BDCF9FFE4E474</vt:lpwstr>
  </property>
  <property fmtid="{D5CDD505-2E9C-101B-9397-08002B2CF9AE}" pid="3" name="_dlc_DocIdItemGuid">
    <vt:lpwstr>ca7e9cdd-fe1c-4b8c-9a7e-8a17f461d061</vt:lpwstr>
  </property>
  <property fmtid="{D5CDD505-2E9C-101B-9397-08002B2CF9AE}" pid="4" name="Order">
    <vt:r8>14764900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2017-07-07T13:48:24.9038668-07:00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