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A7E6" w14:textId="5C57BFE6" w:rsidR="00354CCD" w:rsidRPr="007619A9" w:rsidRDefault="00C13FAB" w:rsidP="007619A9">
      <w:pPr>
        <w:spacing w:before="240" w:after="240"/>
        <w:ind w:right="-270"/>
        <w:rPr>
          <w:rFonts w:ascii="Arial" w:hAnsi="Arial" w:cs="Arial"/>
          <w:bCs/>
          <w:iCs/>
          <w:spacing w:val="-4"/>
          <w:sz w:val="36"/>
          <w:szCs w:val="36"/>
        </w:rPr>
      </w:pPr>
      <w:r w:rsidRPr="007619A9">
        <w:rPr>
          <w:rFonts w:ascii="Arial" w:hAnsi="Arial" w:cs="Arial"/>
          <w:bCs/>
          <w:iCs/>
          <w:spacing w:val="-4"/>
          <w:sz w:val="36"/>
          <w:szCs w:val="36"/>
        </w:rPr>
        <w:t>Définition d’Utilisateur Éducation Éligible Microsoft (Canada)</w:t>
      </w:r>
    </w:p>
    <w:p w14:paraId="4C14CE89" w14:textId="77777777" w:rsidR="002B4E73" w:rsidRDefault="002B4E73" w:rsidP="002C5463">
      <w:pPr>
        <w:spacing w:before="240" w:after="240"/>
        <w:jc w:val="both"/>
        <w:rPr>
          <w:rFonts w:ascii="Arial" w:hAnsi="Arial" w:cs="Arial"/>
          <w:sz w:val="16"/>
          <w:szCs w:val="16"/>
        </w:rPr>
      </w:pPr>
      <w:r>
        <w:rPr>
          <w:rFonts w:ascii="Arial" w:hAnsi="Arial" w:cs="Arial"/>
          <w:sz w:val="16"/>
          <w:szCs w:val="16"/>
        </w:rPr>
        <w:t>Tous les clients Éducation éligibles de Microsoft doivent être situés ou résider au Canada. Les Utilisateurs Éducation Éligibles sont</w:t>
      </w:r>
      <w:r w:rsidR="00A36B97">
        <w:rPr>
          <w:rFonts w:ascii="Arial" w:hAnsi="Arial" w:cs="Arial"/>
          <w:sz w:val="16"/>
          <w:szCs w:val="16"/>
        </w:rPr>
        <w:t> </w:t>
      </w:r>
      <w:r>
        <w:rPr>
          <w:rFonts w:ascii="Arial" w:hAnsi="Arial" w:cs="Arial"/>
          <w:sz w:val="16"/>
          <w:szCs w:val="16"/>
        </w:rPr>
        <w:t>les entités qui ont à la fois un objectif ou une mission éducative et répondent aux critères spécifiés ci-dessous. En cas de</w:t>
      </w:r>
      <w:r w:rsidR="00A36B97">
        <w:rPr>
          <w:rFonts w:ascii="Arial" w:hAnsi="Arial" w:cs="Arial"/>
          <w:sz w:val="16"/>
          <w:szCs w:val="16"/>
        </w:rPr>
        <w:t> </w:t>
      </w:r>
      <w:r>
        <w:rPr>
          <w:rFonts w:ascii="Arial" w:hAnsi="Arial" w:cs="Arial"/>
          <w:sz w:val="16"/>
          <w:szCs w:val="16"/>
        </w:rPr>
        <w:t>controverse quant à l'éligibilité d'une organisation, Microsoft se réserve le droit de déterminer à sa seule discrétion l'éligibilité de</w:t>
      </w:r>
      <w:r w:rsidR="00A36B97">
        <w:rPr>
          <w:rFonts w:ascii="Arial" w:hAnsi="Arial" w:cs="Arial"/>
          <w:sz w:val="16"/>
          <w:szCs w:val="16"/>
        </w:rPr>
        <w:t> </w:t>
      </w:r>
      <w:r>
        <w:rPr>
          <w:rFonts w:ascii="Arial" w:hAnsi="Arial" w:cs="Arial"/>
          <w:sz w:val="16"/>
          <w:szCs w:val="16"/>
        </w:rPr>
        <w:t>l'organisation pour la transaction spécifique en question.</w:t>
      </w:r>
      <w:r w:rsidR="00A84456">
        <w:rPr>
          <w:rFonts w:ascii="Arial" w:hAnsi="Arial" w:cs="Arial"/>
          <w:sz w:val="16"/>
          <w:szCs w:val="16"/>
        </w:rPr>
        <w:t xml:space="preserve"> </w:t>
      </w:r>
      <w:r>
        <w:rPr>
          <w:rFonts w:ascii="Arial" w:hAnsi="Arial" w:cs="Arial"/>
          <w:sz w:val="16"/>
          <w:szCs w:val="16"/>
        </w:rPr>
        <w:t>Les utilisateurs autorisés à acheter des produits Microsoft Édition Éducation dans le cadre des programmes mentionnés (les « Utilisateurs Éducation Éligibles ») incluent les utilisateurs suivants :</w:t>
      </w:r>
    </w:p>
    <w:p w14:paraId="7F50DB37" w14:textId="2D69BA17" w:rsidR="002C5463" w:rsidRDefault="002C5463" w:rsidP="002C5463">
      <w:pPr>
        <w:spacing w:before="240" w:after="240"/>
        <w:jc w:val="both"/>
        <w:rPr>
          <w:rFonts w:ascii="Arial" w:hAnsi="Arial" w:cs="Arial"/>
          <w:bCs/>
          <w:iCs/>
          <w:sz w:val="36"/>
          <w:szCs w:val="36"/>
        </w:rPr>
        <w:sectPr w:rsidR="002C5463" w:rsidSect="00EA240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576" w:footer="432" w:gutter="0"/>
          <w:cols w:space="720"/>
          <w:titlePg/>
          <w:docGrid w:linePitch="272"/>
        </w:sectPr>
      </w:pPr>
    </w:p>
    <w:tbl>
      <w:tblPr>
        <w:tblW w:w="9360" w:type="dxa"/>
        <w:jc w:val="center"/>
        <w:tblLayout w:type="fixed"/>
        <w:tblLook w:val="0000" w:firstRow="0" w:lastRow="0" w:firstColumn="0" w:lastColumn="0" w:noHBand="0" w:noVBand="0"/>
      </w:tblPr>
      <w:tblGrid>
        <w:gridCol w:w="510"/>
        <w:gridCol w:w="5610"/>
        <w:gridCol w:w="3154"/>
        <w:gridCol w:w="86"/>
      </w:tblGrid>
      <w:tr w:rsidR="00296B92" w:rsidRPr="002F47DF" w14:paraId="231111FB" w14:textId="77777777" w:rsidTr="00FC48E2">
        <w:trPr>
          <w:trHeight w:val="270"/>
          <w:jc w:val="center"/>
        </w:trPr>
        <w:tc>
          <w:tcPr>
            <w:tcW w:w="510" w:type="dxa"/>
            <w:vAlign w:val="center"/>
          </w:tcPr>
          <w:p w14:paraId="231111F8" w14:textId="77777777" w:rsidR="00296B92" w:rsidRPr="002F47DF" w:rsidRDefault="00296B92" w:rsidP="0075650B">
            <w:pPr>
              <w:tabs>
                <w:tab w:val="left" w:pos="180"/>
                <w:tab w:val="left" w:pos="360"/>
              </w:tabs>
              <w:ind w:left="180" w:hanging="180"/>
              <w:rPr>
                <w:rFonts w:ascii="Arial" w:hAnsi="Arial" w:cs="Arial"/>
                <w:b/>
                <w:sz w:val="18"/>
              </w:rPr>
            </w:pPr>
          </w:p>
        </w:tc>
        <w:tc>
          <w:tcPr>
            <w:tcW w:w="5610" w:type="dxa"/>
            <w:vAlign w:val="center"/>
          </w:tcPr>
          <w:p w14:paraId="231111F9" w14:textId="77777777" w:rsidR="00296B92" w:rsidRPr="002F47DF" w:rsidRDefault="00296B92" w:rsidP="0075650B">
            <w:pPr>
              <w:tabs>
                <w:tab w:val="left" w:pos="180"/>
                <w:tab w:val="left" w:pos="360"/>
              </w:tabs>
              <w:ind w:left="180" w:hanging="180"/>
              <w:rPr>
                <w:rFonts w:ascii="Arial" w:hAnsi="Arial" w:cs="Arial"/>
                <w:b/>
                <w:sz w:val="18"/>
              </w:rPr>
            </w:pPr>
            <w:r>
              <w:rPr>
                <w:rFonts w:ascii="Arial" w:hAnsi="Arial" w:cs="Arial"/>
                <w:b/>
                <w:sz w:val="18"/>
              </w:rPr>
              <w:t>UTILISATEURS ÉDUCATION ÉLIGIBLES :</w:t>
            </w:r>
          </w:p>
        </w:tc>
        <w:tc>
          <w:tcPr>
            <w:tcW w:w="3240" w:type="dxa"/>
            <w:gridSpan w:val="2"/>
          </w:tcPr>
          <w:p w14:paraId="231111FA" w14:textId="60505E46" w:rsidR="00296B92" w:rsidRPr="002F47DF" w:rsidRDefault="00296B92" w:rsidP="00B70E28">
            <w:pPr>
              <w:tabs>
                <w:tab w:val="left" w:pos="162"/>
              </w:tabs>
              <w:ind w:left="180" w:hanging="180"/>
              <w:jc w:val="center"/>
              <w:rPr>
                <w:rFonts w:ascii="Arial" w:hAnsi="Arial" w:cs="Arial"/>
                <w:sz w:val="18"/>
              </w:rPr>
            </w:pPr>
            <w:r>
              <w:rPr>
                <w:rFonts w:ascii="Arial" w:hAnsi="Arial" w:cs="Arial"/>
                <w:b/>
                <w:sz w:val="18"/>
              </w:rPr>
              <w:t>PROGRAMMES ÉLIGIBLES*</w:t>
            </w:r>
          </w:p>
        </w:tc>
      </w:tr>
      <w:tr w:rsidR="004F68CC" w:rsidRPr="002F47DF" w14:paraId="23111201" w14:textId="77777777" w:rsidTr="00FC48E2">
        <w:trPr>
          <w:trHeight w:val="693"/>
          <w:jc w:val="center"/>
        </w:trPr>
        <w:tc>
          <w:tcPr>
            <w:tcW w:w="510" w:type="dxa"/>
            <w:tcBorders>
              <w:top w:val="double" w:sz="6" w:space="0" w:color="auto"/>
            </w:tcBorders>
          </w:tcPr>
          <w:p w14:paraId="231111FC" w14:textId="77777777" w:rsidR="004F68CC" w:rsidRPr="002F47DF" w:rsidRDefault="004F68CC" w:rsidP="0075650B">
            <w:pPr>
              <w:tabs>
                <w:tab w:val="left" w:pos="180"/>
                <w:tab w:val="left" w:pos="360"/>
              </w:tabs>
              <w:ind w:left="180" w:hanging="180"/>
              <w:jc w:val="both"/>
              <w:rPr>
                <w:rFonts w:ascii="Arial" w:hAnsi="Arial" w:cs="Arial"/>
                <w:b/>
                <w:sz w:val="18"/>
              </w:rPr>
            </w:pPr>
            <w:r>
              <w:rPr>
                <w:rFonts w:ascii="Arial" w:hAnsi="Arial" w:cs="Arial"/>
                <w:b/>
                <w:sz w:val="18"/>
              </w:rPr>
              <w:t>A)</w:t>
            </w:r>
          </w:p>
        </w:tc>
        <w:tc>
          <w:tcPr>
            <w:tcW w:w="5610" w:type="dxa"/>
            <w:tcBorders>
              <w:top w:val="double" w:sz="6" w:space="0" w:color="auto"/>
            </w:tcBorders>
          </w:tcPr>
          <w:p w14:paraId="231111FD" w14:textId="0CE484D9" w:rsidR="004F68CC" w:rsidRPr="002F47DF" w:rsidRDefault="004F68CC" w:rsidP="00A36B97">
            <w:pPr>
              <w:ind w:left="180" w:hanging="180"/>
              <w:rPr>
                <w:rFonts w:ascii="Arial" w:hAnsi="Arial" w:cs="Arial"/>
                <w:b/>
                <w:sz w:val="18"/>
              </w:rPr>
            </w:pPr>
            <w:r>
              <w:rPr>
                <w:rFonts w:ascii="Arial" w:hAnsi="Arial" w:cs="Arial"/>
                <w:b/>
                <w:sz w:val="16"/>
              </w:rPr>
              <w:t>Établissements d’Enseignement</w:t>
            </w:r>
            <w:r>
              <w:br/>
            </w:r>
            <w:r>
              <w:rPr>
                <w:rFonts w:ascii="Arial" w:hAnsi="Arial" w:cs="Arial"/>
                <w:sz w:val="16"/>
              </w:rPr>
              <w:t>Écoles accréditées au Canada ou une affiliée d'une école canadienne, qui</w:t>
            </w:r>
            <w:r w:rsidR="00A36B97">
              <w:rPr>
                <w:rFonts w:ascii="Arial" w:hAnsi="Arial" w:cs="Arial"/>
                <w:sz w:val="16"/>
              </w:rPr>
              <w:t> </w:t>
            </w:r>
            <w:r>
              <w:rPr>
                <w:rFonts w:ascii="Arial" w:hAnsi="Arial" w:cs="Arial"/>
                <w:sz w:val="16"/>
              </w:rPr>
              <w:t>sont</w:t>
            </w:r>
            <w:r w:rsidR="007619A9">
              <w:rPr>
                <w:rFonts w:ascii="Arial" w:hAnsi="Arial" w:cs="Arial"/>
                <w:sz w:val="16"/>
              </w:rPr>
              <w:t xml:space="preserve"> </w:t>
            </w:r>
            <w:r>
              <w:rPr>
                <w:rFonts w:ascii="Arial" w:hAnsi="Arial" w:cs="Arial"/>
                <w:sz w:val="16"/>
              </w:rPr>
              <w:t>organisées et gérées aux seules fins d’enseignement. Une école accréditée doit</w:t>
            </w:r>
            <w:r w:rsidR="00A36B97">
              <w:rPr>
                <w:rFonts w:ascii="Arial" w:hAnsi="Arial" w:cs="Arial"/>
                <w:sz w:val="16"/>
              </w:rPr>
              <w:t> </w:t>
            </w:r>
            <w:r>
              <w:rPr>
                <w:rFonts w:ascii="Arial" w:hAnsi="Arial" w:cs="Arial"/>
                <w:sz w:val="16"/>
              </w:rPr>
              <w:t>être :</w:t>
            </w:r>
          </w:p>
        </w:tc>
        <w:tc>
          <w:tcPr>
            <w:tcW w:w="3240" w:type="dxa"/>
            <w:gridSpan w:val="2"/>
            <w:vMerge w:val="restart"/>
            <w:tcBorders>
              <w:top w:val="double" w:sz="6" w:space="0" w:color="auto"/>
            </w:tcBorders>
          </w:tcPr>
          <w:p w14:paraId="3A53068F" w14:textId="77777777" w:rsidR="004F68CC" w:rsidRPr="00B70E28" w:rsidRDefault="004F68CC" w:rsidP="00B70E28">
            <w:pPr>
              <w:pStyle w:val="ListParagraph"/>
              <w:numPr>
                <w:ilvl w:val="0"/>
                <w:numId w:val="36"/>
              </w:numPr>
              <w:tabs>
                <w:tab w:val="left" w:pos="162"/>
              </w:tabs>
              <w:ind w:left="195" w:hanging="180"/>
              <w:rPr>
                <w:rFonts w:ascii="Arial" w:hAnsi="Arial" w:cs="Arial"/>
                <w:sz w:val="16"/>
              </w:rPr>
            </w:pPr>
            <w:r>
              <w:rPr>
                <w:rFonts w:ascii="Arial" w:hAnsi="Arial" w:cs="Arial"/>
                <w:sz w:val="16"/>
              </w:rPr>
              <w:t>Select Plus Éducation</w:t>
            </w:r>
          </w:p>
          <w:p w14:paraId="40969C15" w14:textId="6D0BFB68" w:rsidR="004F68CC" w:rsidRPr="00B70E28" w:rsidRDefault="004F68CC" w:rsidP="00B70E28">
            <w:pPr>
              <w:pStyle w:val="ListParagraph"/>
              <w:numPr>
                <w:ilvl w:val="0"/>
                <w:numId w:val="36"/>
              </w:numPr>
              <w:ind w:left="195" w:hanging="180"/>
              <w:rPr>
                <w:rFonts w:ascii="Arial" w:hAnsi="Arial" w:cs="Arial"/>
                <w:sz w:val="16"/>
              </w:rPr>
            </w:pPr>
            <w:r>
              <w:rPr>
                <w:rFonts w:ascii="Arial" w:hAnsi="Arial" w:cs="Arial"/>
                <w:sz w:val="16"/>
              </w:rPr>
              <w:t>Accord de Mise en Œuvre de</w:t>
            </w:r>
            <w:r w:rsidR="00A36B97">
              <w:rPr>
                <w:rFonts w:ascii="Arial" w:hAnsi="Arial" w:cs="Arial"/>
                <w:sz w:val="16"/>
              </w:rPr>
              <w:t> </w:t>
            </w:r>
            <w:r>
              <w:rPr>
                <w:rFonts w:ascii="Arial" w:hAnsi="Arial" w:cs="Arial"/>
                <w:sz w:val="16"/>
              </w:rPr>
              <w:t>Solutions Éducation) (établissements d’enseignement primaire et</w:t>
            </w:r>
            <w:r w:rsidR="00A36B97">
              <w:rPr>
                <w:rFonts w:ascii="Arial" w:hAnsi="Arial" w:cs="Arial"/>
                <w:sz w:val="16"/>
              </w:rPr>
              <w:t> </w:t>
            </w:r>
            <w:r>
              <w:rPr>
                <w:rFonts w:ascii="Arial" w:hAnsi="Arial" w:cs="Arial"/>
                <w:sz w:val="16"/>
              </w:rPr>
              <w:t>secondaire, établissements d’enseignement supérieur et</w:t>
            </w:r>
            <w:r w:rsidR="00A36B97">
              <w:rPr>
                <w:rFonts w:ascii="Arial" w:hAnsi="Arial" w:cs="Arial"/>
                <w:sz w:val="16"/>
              </w:rPr>
              <w:t> </w:t>
            </w:r>
            <w:r>
              <w:rPr>
                <w:rFonts w:ascii="Arial" w:hAnsi="Arial" w:cs="Arial"/>
                <w:sz w:val="16"/>
              </w:rPr>
              <w:t>universités)</w:t>
            </w:r>
          </w:p>
          <w:p w14:paraId="6CEEAFD0" w14:textId="4DFD4A5F" w:rsidR="004F68CC" w:rsidRDefault="004F68CC" w:rsidP="00B70E28">
            <w:pPr>
              <w:pStyle w:val="ListParagraph"/>
              <w:numPr>
                <w:ilvl w:val="0"/>
                <w:numId w:val="36"/>
              </w:numPr>
              <w:ind w:left="195" w:hanging="180"/>
              <w:rPr>
                <w:rFonts w:ascii="Arial" w:hAnsi="Arial" w:cs="Arial"/>
                <w:sz w:val="16"/>
              </w:rPr>
            </w:pPr>
            <w:r>
              <w:rPr>
                <w:rFonts w:ascii="Arial" w:hAnsi="Arial" w:cs="Arial"/>
                <w:sz w:val="16"/>
              </w:rPr>
              <w:t>Contrat Get Genuine Windows – Academic</w:t>
            </w:r>
          </w:p>
          <w:p w14:paraId="091AF4D5" w14:textId="6D3617AE" w:rsidR="004F68CC" w:rsidRPr="00B70E28" w:rsidRDefault="004F68CC" w:rsidP="00B70E28">
            <w:pPr>
              <w:pStyle w:val="ListParagraph"/>
              <w:numPr>
                <w:ilvl w:val="0"/>
                <w:numId w:val="36"/>
              </w:numPr>
              <w:ind w:left="195" w:hanging="180"/>
              <w:rPr>
                <w:rFonts w:ascii="Arial" w:hAnsi="Arial" w:cs="Arial"/>
                <w:sz w:val="16"/>
              </w:rPr>
            </w:pPr>
            <w:r>
              <w:rPr>
                <w:rFonts w:ascii="Arial" w:hAnsi="Arial" w:cs="Arial"/>
                <w:sz w:val="16"/>
              </w:rPr>
              <w:t xml:space="preserve">Contrat Client Microsoft </w:t>
            </w:r>
            <w:r>
              <w:rPr>
                <w:rFonts w:ascii="Arial" w:hAnsi="Arial" w:cs="Arial"/>
                <w:sz w:val="16"/>
                <w:szCs w:val="16"/>
              </w:rPr>
              <w:t>(comprend CSP)</w:t>
            </w:r>
          </w:p>
          <w:p w14:paraId="1BDBA4C4" w14:textId="6B676BF3" w:rsidR="004F68CC" w:rsidRPr="00B70E28" w:rsidRDefault="004F68CC" w:rsidP="00B70E28">
            <w:pPr>
              <w:pStyle w:val="ListParagraph"/>
              <w:numPr>
                <w:ilvl w:val="0"/>
                <w:numId w:val="36"/>
              </w:numPr>
              <w:tabs>
                <w:tab w:val="left" w:pos="0"/>
              </w:tabs>
              <w:ind w:left="195" w:hanging="180"/>
              <w:rPr>
                <w:rFonts w:ascii="Arial" w:hAnsi="Arial" w:cs="Arial"/>
                <w:sz w:val="16"/>
              </w:rPr>
            </w:pPr>
            <w:r>
              <w:rPr>
                <w:rFonts w:ascii="Arial" w:hAnsi="Arial" w:cs="Arial"/>
                <w:sz w:val="16"/>
              </w:rPr>
              <w:t>Contrat d’Abonnement en</w:t>
            </w:r>
            <w:r w:rsidR="00A36B97">
              <w:rPr>
                <w:rFonts w:ascii="Arial" w:hAnsi="Arial" w:cs="Arial"/>
                <w:sz w:val="16"/>
              </w:rPr>
              <w:t> </w:t>
            </w:r>
            <w:r>
              <w:rPr>
                <w:rFonts w:ascii="Arial" w:hAnsi="Arial" w:cs="Arial"/>
                <w:sz w:val="16"/>
              </w:rPr>
              <w:t>Ligne Microsoft</w:t>
            </w:r>
          </w:p>
          <w:p w14:paraId="730E5BDD" w14:textId="77777777" w:rsidR="004441A8" w:rsidRDefault="004441A8" w:rsidP="00B70E28">
            <w:pPr>
              <w:pStyle w:val="ListParagraph"/>
              <w:numPr>
                <w:ilvl w:val="0"/>
                <w:numId w:val="36"/>
              </w:numPr>
              <w:ind w:left="195" w:hanging="180"/>
              <w:rPr>
                <w:rFonts w:ascii="Arial" w:hAnsi="Arial" w:cs="Arial"/>
                <w:sz w:val="16"/>
              </w:rPr>
            </w:pPr>
            <w:r>
              <w:rPr>
                <w:rFonts w:ascii="Arial" w:hAnsi="Arial" w:cs="Arial"/>
                <w:sz w:val="16"/>
              </w:rPr>
              <w:t xml:space="preserve">Contrat Open Value – Éducation </w:t>
            </w:r>
          </w:p>
          <w:p w14:paraId="544CC3C0" w14:textId="5231B980" w:rsidR="004F68CC" w:rsidRPr="00A36B97" w:rsidRDefault="004F68CC" w:rsidP="00B70E28">
            <w:pPr>
              <w:pStyle w:val="ListParagraph"/>
              <w:numPr>
                <w:ilvl w:val="0"/>
                <w:numId w:val="36"/>
              </w:numPr>
              <w:ind w:left="195" w:hanging="180"/>
              <w:rPr>
                <w:rFonts w:ascii="Arial" w:hAnsi="Arial" w:cs="Arial"/>
                <w:sz w:val="16"/>
                <w:lang w:val="en-US"/>
              </w:rPr>
            </w:pPr>
            <w:r w:rsidRPr="00A36B97">
              <w:rPr>
                <w:rFonts w:ascii="Arial" w:hAnsi="Arial" w:cs="Arial"/>
                <w:sz w:val="16"/>
                <w:lang w:val="en-US"/>
              </w:rPr>
              <w:t>Open Value Souscription – Solutions Éducation (K12</w:t>
            </w:r>
            <w:r w:rsidR="00A36B97">
              <w:rPr>
                <w:rFonts w:ascii="Arial" w:hAnsi="Arial" w:cs="Arial"/>
                <w:sz w:val="16"/>
                <w:lang w:val="en-US"/>
              </w:rPr>
              <w:t> </w:t>
            </w:r>
            <w:r w:rsidRPr="00A36B97">
              <w:rPr>
                <w:rFonts w:ascii="Arial" w:hAnsi="Arial" w:cs="Arial"/>
                <w:sz w:val="16"/>
                <w:lang w:val="en-US"/>
              </w:rPr>
              <w:t>Ed</w:t>
            </w:r>
            <w:r w:rsidR="00A36B97">
              <w:rPr>
                <w:rFonts w:ascii="Arial" w:hAnsi="Arial" w:cs="Arial"/>
                <w:sz w:val="16"/>
                <w:lang w:val="en-US"/>
              </w:rPr>
              <w:t> </w:t>
            </w:r>
            <w:r w:rsidRPr="00A36B97">
              <w:rPr>
                <w:rFonts w:ascii="Arial" w:hAnsi="Arial" w:cs="Arial"/>
                <w:sz w:val="16"/>
                <w:lang w:val="en-US"/>
              </w:rPr>
              <w:t>ou Preschool &amp; Higher Ed)</w:t>
            </w:r>
          </w:p>
          <w:p w14:paraId="1FFE80B5" w14:textId="77777777" w:rsidR="004F68CC" w:rsidRPr="00B70E28" w:rsidRDefault="004F68CC" w:rsidP="00B70E28">
            <w:pPr>
              <w:pStyle w:val="ListParagraph"/>
              <w:numPr>
                <w:ilvl w:val="0"/>
                <w:numId w:val="36"/>
              </w:numPr>
              <w:tabs>
                <w:tab w:val="left" w:pos="162"/>
              </w:tabs>
              <w:ind w:left="195" w:hanging="180"/>
              <w:rPr>
                <w:rFonts w:ascii="Arial" w:hAnsi="Arial" w:cs="Arial"/>
                <w:sz w:val="16"/>
              </w:rPr>
            </w:pPr>
            <w:r>
              <w:rPr>
                <w:rFonts w:ascii="Arial" w:hAnsi="Arial" w:cs="Arial"/>
                <w:sz w:val="16"/>
              </w:rPr>
              <w:t xml:space="preserve">Contrat School </w:t>
            </w:r>
          </w:p>
          <w:p w14:paraId="019C5F13" w14:textId="5883C8B5" w:rsidR="004F68CC" w:rsidRPr="00B70E28" w:rsidRDefault="004F68CC" w:rsidP="00B70E28">
            <w:pPr>
              <w:pStyle w:val="ListParagraph"/>
              <w:ind w:left="195"/>
              <w:rPr>
                <w:rFonts w:ascii="Arial" w:hAnsi="Arial" w:cs="Arial"/>
                <w:sz w:val="16"/>
              </w:rPr>
            </w:pPr>
            <w:r>
              <w:rPr>
                <w:rFonts w:ascii="Arial" w:hAnsi="Arial" w:cs="Arial"/>
                <w:sz w:val="16"/>
              </w:rPr>
              <w:t>(établissements d’enseignement primaire et</w:t>
            </w:r>
            <w:r w:rsidR="00A36B97">
              <w:rPr>
                <w:rFonts w:ascii="Arial" w:hAnsi="Arial" w:cs="Arial"/>
                <w:sz w:val="16"/>
              </w:rPr>
              <w:t> </w:t>
            </w:r>
            <w:r>
              <w:rPr>
                <w:rFonts w:ascii="Arial" w:hAnsi="Arial" w:cs="Arial"/>
                <w:sz w:val="16"/>
              </w:rPr>
              <w:t>secondaire uniquement)</w:t>
            </w:r>
          </w:p>
          <w:p w14:paraId="23111200" w14:textId="416A2EE9" w:rsidR="004F68CC" w:rsidRPr="00F03030" w:rsidRDefault="004F68CC" w:rsidP="00B70E28">
            <w:pPr>
              <w:pStyle w:val="ListParagraph"/>
              <w:numPr>
                <w:ilvl w:val="0"/>
                <w:numId w:val="36"/>
              </w:numPr>
              <w:ind w:left="195" w:hanging="180"/>
              <w:rPr>
                <w:rFonts w:ascii="Arial" w:hAnsi="Arial" w:cs="Arial"/>
                <w:sz w:val="16"/>
              </w:rPr>
            </w:pPr>
            <w:r>
              <w:rPr>
                <w:rFonts w:ascii="Arial" w:hAnsi="Arial" w:cs="Arial"/>
                <w:sz w:val="16"/>
              </w:rPr>
              <w:t>Contrat de Licence Prestataire de Services</w:t>
            </w:r>
          </w:p>
        </w:tc>
      </w:tr>
      <w:tr w:rsidR="004F68CC" w:rsidRPr="002F47DF" w14:paraId="23111209" w14:textId="77777777" w:rsidTr="00FC48E2">
        <w:trPr>
          <w:trHeight w:val="810"/>
          <w:jc w:val="center"/>
        </w:trPr>
        <w:tc>
          <w:tcPr>
            <w:tcW w:w="510" w:type="dxa"/>
          </w:tcPr>
          <w:p w14:paraId="23111202" w14:textId="77777777" w:rsidR="004F68CC" w:rsidRPr="002F47DF" w:rsidRDefault="004F68CC" w:rsidP="0075650B">
            <w:pPr>
              <w:tabs>
                <w:tab w:val="left" w:pos="180"/>
                <w:tab w:val="left" w:pos="360"/>
              </w:tabs>
              <w:ind w:left="180" w:hanging="180"/>
              <w:jc w:val="right"/>
              <w:rPr>
                <w:rFonts w:ascii="Arial" w:hAnsi="Arial" w:cs="Arial"/>
                <w:b/>
                <w:sz w:val="18"/>
              </w:rPr>
            </w:pPr>
            <w:r>
              <w:rPr>
                <w:rFonts w:ascii="Arial" w:hAnsi="Arial" w:cs="Arial"/>
                <w:b/>
                <w:sz w:val="18"/>
              </w:rPr>
              <w:t>1.</w:t>
            </w:r>
          </w:p>
        </w:tc>
        <w:tc>
          <w:tcPr>
            <w:tcW w:w="5610" w:type="dxa"/>
          </w:tcPr>
          <w:p w14:paraId="23111203" w14:textId="6D26A638" w:rsidR="004F68CC" w:rsidRPr="002F47DF" w:rsidRDefault="004F68CC" w:rsidP="00A36B97">
            <w:pPr>
              <w:tabs>
                <w:tab w:val="left" w:pos="360"/>
              </w:tabs>
              <w:ind w:left="180" w:firstLine="12"/>
              <w:rPr>
                <w:rFonts w:ascii="Arial" w:hAnsi="Arial" w:cs="Arial"/>
                <w:sz w:val="16"/>
              </w:rPr>
            </w:pPr>
            <w:r>
              <w:rPr>
                <w:rFonts w:ascii="Arial" w:hAnsi="Arial" w:cs="Arial"/>
                <w:sz w:val="16"/>
              </w:rPr>
              <w:t>un établissement public ou privé délivrant un diplôme ou une équivalence, à savoir primaire et secondaire, établissement de formation professionnelle, école par correspondance, postsecondaire, université ou établissement scientifique ou technique, accrédité par les collectivités provinciales ou territoriales de la province ou du territoire où l’établissement se situe.</w:t>
            </w:r>
          </w:p>
        </w:tc>
        <w:tc>
          <w:tcPr>
            <w:tcW w:w="3240" w:type="dxa"/>
            <w:gridSpan w:val="2"/>
            <w:vMerge/>
          </w:tcPr>
          <w:p w14:paraId="23111208" w14:textId="4C9131F7" w:rsidR="004F68CC" w:rsidRPr="002F47DF" w:rsidRDefault="004F68CC" w:rsidP="002E3B56">
            <w:pPr>
              <w:ind w:left="7" w:hanging="7"/>
              <w:rPr>
                <w:rFonts w:ascii="Arial" w:hAnsi="Arial" w:cs="Arial"/>
                <w:sz w:val="16"/>
              </w:rPr>
            </w:pPr>
          </w:p>
        </w:tc>
      </w:tr>
      <w:tr w:rsidR="004F68CC" w:rsidRPr="002F47DF" w14:paraId="44525EEA" w14:textId="77777777" w:rsidTr="00FC48E2">
        <w:trPr>
          <w:trHeight w:val="2232"/>
          <w:jc w:val="center"/>
        </w:trPr>
        <w:tc>
          <w:tcPr>
            <w:tcW w:w="510" w:type="dxa"/>
          </w:tcPr>
          <w:p w14:paraId="75784CE6" w14:textId="2A0A922A" w:rsidR="004F68CC" w:rsidRPr="002F47DF" w:rsidRDefault="004F68CC" w:rsidP="0075650B">
            <w:pPr>
              <w:tabs>
                <w:tab w:val="left" w:pos="180"/>
                <w:tab w:val="left" w:pos="360"/>
              </w:tabs>
              <w:ind w:left="180" w:hanging="180"/>
              <w:jc w:val="right"/>
              <w:rPr>
                <w:rFonts w:ascii="Arial" w:hAnsi="Arial" w:cs="Arial"/>
                <w:b/>
                <w:sz w:val="18"/>
              </w:rPr>
            </w:pPr>
            <w:r>
              <w:rPr>
                <w:rFonts w:ascii="Arial" w:hAnsi="Arial" w:cs="Arial"/>
                <w:b/>
                <w:sz w:val="18"/>
              </w:rPr>
              <w:t>2.</w:t>
            </w:r>
          </w:p>
        </w:tc>
        <w:tc>
          <w:tcPr>
            <w:tcW w:w="5610" w:type="dxa"/>
          </w:tcPr>
          <w:p w14:paraId="232B097E" w14:textId="30F8B498" w:rsidR="004F68CC" w:rsidRDefault="004F68CC" w:rsidP="00A36B97">
            <w:pPr>
              <w:tabs>
                <w:tab w:val="left" w:pos="360"/>
              </w:tabs>
              <w:ind w:left="180" w:firstLine="12"/>
              <w:rPr>
                <w:rFonts w:ascii="Arial" w:hAnsi="Arial" w:cs="Arial"/>
                <w:sz w:val="16"/>
              </w:rPr>
            </w:pPr>
            <w:r>
              <w:rPr>
                <w:rFonts w:ascii="Arial" w:hAnsi="Arial" w:cs="Arial"/>
                <w:sz w:val="16"/>
              </w:rPr>
              <w:t>un établissement affilié ou en partenariat avec une école accréditée au Canada, situé à l'extérieur du Canada et qui est un établissement public ou privé délivrant un diplôme ou une équivalence, à savoir primaire et secondaire, établissement de</w:t>
            </w:r>
            <w:r w:rsidR="00A36B97">
              <w:rPr>
                <w:rFonts w:ascii="Arial" w:hAnsi="Arial" w:cs="Arial"/>
                <w:sz w:val="16"/>
              </w:rPr>
              <w:t> </w:t>
            </w:r>
            <w:r>
              <w:rPr>
                <w:rFonts w:ascii="Arial" w:hAnsi="Arial" w:cs="Arial"/>
                <w:sz w:val="16"/>
              </w:rPr>
              <w:t>formation professionnelle, école par correspondance, postsecondaire, université ou établissement scientifique ou technique.</w:t>
            </w:r>
          </w:p>
        </w:tc>
        <w:tc>
          <w:tcPr>
            <w:tcW w:w="3240" w:type="dxa"/>
            <w:gridSpan w:val="2"/>
            <w:vMerge/>
          </w:tcPr>
          <w:p w14:paraId="4517FD04" w14:textId="77777777" w:rsidR="004F68CC" w:rsidRPr="002F47DF" w:rsidRDefault="004F68CC" w:rsidP="002E3B56">
            <w:pPr>
              <w:ind w:left="7" w:hanging="7"/>
              <w:rPr>
                <w:rFonts w:ascii="Arial" w:hAnsi="Arial" w:cs="Arial"/>
                <w:sz w:val="16"/>
              </w:rPr>
            </w:pPr>
          </w:p>
        </w:tc>
      </w:tr>
      <w:tr w:rsidR="00296B92" w:rsidRPr="002F47DF" w14:paraId="2311120D" w14:textId="77777777" w:rsidTr="00FC48E2">
        <w:trPr>
          <w:trHeight w:val="1737"/>
          <w:jc w:val="center"/>
        </w:trPr>
        <w:tc>
          <w:tcPr>
            <w:tcW w:w="510" w:type="dxa"/>
          </w:tcPr>
          <w:p w14:paraId="2311120A" w14:textId="7FD461FF" w:rsidR="00296B92" w:rsidRPr="002F47DF" w:rsidRDefault="004F68CC" w:rsidP="0075650B">
            <w:pPr>
              <w:tabs>
                <w:tab w:val="left" w:pos="180"/>
                <w:tab w:val="left" w:pos="360"/>
              </w:tabs>
              <w:ind w:left="180" w:hanging="180"/>
              <w:jc w:val="right"/>
              <w:rPr>
                <w:rFonts w:ascii="Arial" w:hAnsi="Arial" w:cs="Arial"/>
                <w:sz w:val="18"/>
              </w:rPr>
            </w:pPr>
            <w:r>
              <w:rPr>
                <w:rFonts w:ascii="Arial" w:hAnsi="Arial" w:cs="Arial"/>
                <w:b/>
                <w:sz w:val="18"/>
              </w:rPr>
              <w:t>3.</w:t>
            </w:r>
          </w:p>
        </w:tc>
        <w:tc>
          <w:tcPr>
            <w:tcW w:w="5610" w:type="dxa"/>
          </w:tcPr>
          <w:p w14:paraId="2311120B" w14:textId="5A5EA902" w:rsidR="00765D1F" w:rsidRPr="00B70E28" w:rsidRDefault="00791B69" w:rsidP="00A36B97">
            <w:pPr>
              <w:ind w:left="180" w:firstLine="6"/>
              <w:rPr>
                <w:rFonts w:ascii="Arial" w:hAnsi="Arial" w:cs="Arial"/>
                <w:sz w:val="16"/>
              </w:rPr>
            </w:pPr>
            <w:r>
              <w:rPr>
                <w:rFonts w:ascii="Arial" w:hAnsi="Arial" w:cs="Arial"/>
                <w:sz w:val="16"/>
              </w:rPr>
              <w:t>Une école maternelle au Canada remplissant tous les critères suivants : suivant un</w:t>
            </w:r>
            <w:r w:rsidR="00A36B97">
              <w:rPr>
                <w:rFonts w:ascii="Arial" w:hAnsi="Arial" w:cs="Arial"/>
                <w:sz w:val="16"/>
              </w:rPr>
              <w:t> </w:t>
            </w:r>
            <w:r>
              <w:rPr>
                <w:rFonts w:ascii="Arial" w:hAnsi="Arial" w:cs="Arial"/>
                <w:sz w:val="16"/>
              </w:rPr>
              <w:t>programme pour la petite enfance avec au moins dix enfants de deux à cinq ans ; (ii) qui exerce depuis au moins un an ; et (iii) qui fournit des services d’ordre éducatif.</w:t>
            </w:r>
          </w:p>
        </w:tc>
        <w:tc>
          <w:tcPr>
            <w:tcW w:w="3240" w:type="dxa"/>
            <w:gridSpan w:val="2"/>
          </w:tcPr>
          <w:p w14:paraId="55AD1871" w14:textId="3A433A1C" w:rsidR="00791B69" w:rsidRDefault="00791B69" w:rsidP="00B70E28">
            <w:pPr>
              <w:pStyle w:val="ListParagraph"/>
              <w:numPr>
                <w:ilvl w:val="0"/>
                <w:numId w:val="36"/>
              </w:numPr>
              <w:tabs>
                <w:tab w:val="left" w:pos="0"/>
              </w:tabs>
              <w:ind w:left="195" w:hanging="180"/>
              <w:rPr>
                <w:rFonts w:ascii="Arial" w:hAnsi="Arial" w:cs="Arial"/>
                <w:sz w:val="16"/>
              </w:rPr>
            </w:pPr>
            <w:r>
              <w:rPr>
                <w:rFonts w:ascii="Arial" w:hAnsi="Arial" w:cs="Arial"/>
                <w:sz w:val="16"/>
              </w:rPr>
              <w:t>Select Plus Éducation</w:t>
            </w:r>
          </w:p>
          <w:p w14:paraId="7C520CD0" w14:textId="0CB6E149" w:rsidR="00791B69" w:rsidRDefault="00791B69" w:rsidP="00B70E28">
            <w:pPr>
              <w:pStyle w:val="ListParagraph"/>
              <w:numPr>
                <w:ilvl w:val="0"/>
                <w:numId w:val="36"/>
              </w:numPr>
              <w:tabs>
                <w:tab w:val="left" w:pos="0"/>
              </w:tabs>
              <w:ind w:left="195" w:hanging="180"/>
              <w:rPr>
                <w:rFonts w:ascii="Arial" w:hAnsi="Arial" w:cs="Arial"/>
                <w:sz w:val="16"/>
              </w:rPr>
            </w:pPr>
            <w:r>
              <w:rPr>
                <w:rFonts w:ascii="Arial" w:hAnsi="Arial" w:cs="Arial"/>
                <w:sz w:val="16"/>
              </w:rPr>
              <w:t>Contrat Get Genuine Windows – Academic</w:t>
            </w:r>
          </w:p>
          <w:p w14:paraId="5EED633E" w14:textId="16559AC7" w:rsidR="00454033" w:rsidRDefault="00454033" w:rsidP="00B70E28">
            <w:pPr>
              <w:pStyle w:val="ListParagraph"/>
              <w:numPr>
                <w:ilvl w:val="0"/>
                <w:numId w:val="36"/>
              </w:numPr>
              <w:tabs>
                <w:tab w:val="left" w:pos="0"/>
              </w:tabs>
              <w:ind w:left="195" w:hanging="180"/>
              <w:rPr>
                <w:rFonts w:ascii="Arial" w:hAnsi="Arial" w:cs="Arial"/>
                <w:sz w:val="16"/>
              </w:rPr>
            </w:pPr>
            <w:r>
              <w:rPr>
                <w:rFonts w:ascii="Arial" w:hAnsi="Arial" w:cs="Arial"/>
                <w:sz w:val="16"/>
              </w:rPr>
              <w:t xml:space="preserve">Contrat Client Microsoft </w:t>
            </w:r>
            <w:r>
              <w:rPr>
                <w:rFonts w:ascii="Arial" w:hAnsi="Arial" w:cs="Arial"/>
                <w:sz w:val="16"/>
                <w:szCs w:val="16"/>
              </w:rPr>
              <w:t>(comprend CSP)</w:t>
            </w:r>
            <w:r>
              <w:rPr>
                <w:rFonts w:ascii="Arial" w:hAnsi="Arial" w:cs="Arial"/>
                <w:sz w:val="16"/>
              </w:rPr>
              <w:t xml:space="preserve"> </w:t>
            </w:r>
          </w:p>
          <w:p w14:paraId="289B3FB9" w14:textId="77777777" w:rsidR="000D5E67" w:rsidRDefault="002F0A2C" w:rsidP="00B70E28">
            <w:pPr>
              <w:pStyle w:val="ListParagraph"/>
              <w:numPr>
                <w:ilvl w:val="0"/>
                <w:numId w:val="36"/>
              </w:numPr>
              <w:tabs>
                <w:tab w:val="left" w:pos="0"/>
              </w:tabs>
              <w:ind w:left="195" w:hanging="180"/>
              <w:rPr>
                <w:rFonts w:ascii="Arial" w:hAnsi="Arial" w:cs="Arial"/>
                <w:sz w:val="16"/>
              </w:rPr>
            </w:pPr>
            <w:r>
              <w:rPr>
                <w:rFonts w:ascii="Arial" w:hAnsi="Arial" w:cs="Arial"/>
                <w:sz w:val="16"/>
              </w:rPr>
              <w:t>Contrat de Fourniture de Produits et de Services Microsoft</w:t>
            </w:r>
          </w:p>
          <w:p w14:paraId="114AFF17" w14:textId="77777777" w:rsidR="004441A8" w:rsidRDefault="004441A8" w:rsidP="00B70E28">
            <w:pPr>
              <w:pStyle w:val="ListParagraph"/>
              <w:numPr>
                <w:ilvl w:val="0"/>
                <w:numId w:val="36"/>
              </w:numPr>
              <w:tabs>
                <w:tab w:val="left" w:pos="0"/>
              </w:tabs>
              <w:ind w:left="195" w:hanging="180"/>
              <w:rPr>
                <w:rFonts w:ascii="Arial" w:hAnsi="Arial" w:cs="Arial"/>
                <w:sz w:val="16"/>
              </w:rPr>
            </w:pPr>
            <w:r>
              <w:rPr>
                <w:rFonts w:ascii="Arial" w:hAnsi="Arial" w:cs="Arial"/>
                <w:sz w:val="16"/>
              </w:rPr>
              <w:t xml:space="preserve">Contrat Open Value – Éducation </w:t>
            </w:r>
          </w:p>
          <w:p w14:paraId="2311120C" w14:textId="10AE7F01" w:rsidR="00765D1F" w:rsidRPr="00B70E28" w:rsidRDefault="000D5E67" w:rsidP="00B70E28">
            <w:pPr>
              <w:pStyle w:val="ListParagraph"/>
              <w:numPr>
                <w:ilvl w:val="0"/>
                <w:numId w:val="36"/>
              </w:numPr>
              <w:tabs>
                <w:tab w:val="left" w:pos="0"/>
              </w:tabs>
              <w:ind w:left="195" w:hanging="180"/>
              <w:rPr>
                <w:rFonts w:ascii="Arial" w:hAnsi="Arial" w:cs="Arial"/>
                <w:sz w:val="16"/>
              </w:rPr>
            </w:pPr>
            <w:r>
              <w:rPr>
                <w:rFonts w:ascii="Arial" w:hAnsi="Arial" w:cs="Arial"/>
                <w:sz w:val="16"/>
              </w:rPr>
              <w:t>Contrat de Licence Prestataire de Services</w:t>
            </w:r>
          </w:p>
        </w:tc>
      </w:tr>
      <w:tr w:rsidR="00296B92" w:rsidRPr="002F47DF" w14:paraId="23111218" w14:textId="77777777" w:rsidTr="00FC48E2">
        <w:trPr>
          <w:cantSplit/>
          <w:trHeight w:val="65"/>
          <w:jc w:val="center"/>
        </w:trPr>
        <w:tc>
          <w:tcPr>
            <w:tcW w:w="510" w:type="dxa"/>
            <w:tcBorders>
              <w:top w:val="single" w:sz="6" w:space="0" w:color="auto"/>
              <w:bottom w:val="single" w:sz="6" w:space="0" w:color="auto"/>
            </w:tcBorders>
          </w:tcPr>
          <w:p w14:paraId="2311120E" w14:textId="6C8F8934" w:rsidR="00296B92" w:rsidRPr="002F47DF" w:rsidRDefault="00296B92" w:rsidP="0075650B">
            <w:pPr>
              <w:tabs>
                <w:tab w:val="left" w:pos="180"/>
                <w:tab w:val="left" w:pos="360"/>
              </w:tabs>
              <w:ind w:left="180" w:hanging="180"/>
              <w:rPr>
                <w:rFonts w:ascii="Arial" w:hAnsi="Arial" w:cs="Arial"/>
                <w:b/>
                <w:sz w:val="18"/>
              </w:rPr>
            </w:pPr>
            <w:r>
              <w:rPr>
                <w:rFonts w:ascii="Arial" w:hAnsi="Arial" w:cs="Arial"/>
                <w:b/>
                <w:sz w:val="18"/>
              </w:rPr>
              <w:t>B)</w:t>
            </w:r>
          </w:p>
        </w:tc>
        <w:tc>
          <w:tcPr>
            <w:tcW w:w="5610" w:type="dxa"/>
            <w:tcBorders>
              <w:top w:val="single" w:sz="4" w:space="0" w:color="auto"/>
              <w:bottom w:val="single" w:sz="6" w:space="0" w:color="auto"/>
            </w:tcBorders>
          </w:tcPr>
          <w:p w14:paraId="2311120F" w14:textId="7F47E5E4" w:rsidR="00296B92" w:rsidRPr="002F47DF" w:rsidRDefault="00296B92" w:rsidP="00BC34A7">
            <w:pPr>
              <w:tabs>
                <w:tab w:val="left" w:pos="277"/>
                <w:tab w:val="left" w:pos="360"/>
              </w:tabs>
              <w:ind w:left="180" w:hanging="180"/>
              <w:rPr>
                <w:rFonts w:ascii="Arial" w:hAnsi="Arial" w:cs="Arial"/>
                <w:b/>
                <w:sz w:val="18"/>
              </w:rPr>
            </w:pPr>
            <w:r>
              <w:rPr>
                <w:rFonts w:ascii="Arial" w:hAnsi="Arial" w:cs="Arial"/>
                <w:b/>
                <w:sz w:val="16"/>
              </w:rPr>
              <w:t>Bureaux Administratifs ou Conseils d’Éducation d’Établissements d’Enseignement</w:t>
            </w:r>
            <w:r>
              <w:br/>
            </w:r>
            <w:r>
              <w:rPr>
                <w:rFonts w:ascii="Arial" w:hAnsi="Arial" w:cs="Arial"/>
                <w:sz w:val="16"/>
              </w:rPr>
              <w:t>À savoir les bureaux administratifs régionaux ou de district des Établissements d’Enseignement définis à l’article A ci-avant, voire les sections des Académies Provinciales ou Territoriales qui agissent en qualité de Bureaux Administratifs ou</w:t>
            </w:r>
            <w:r w:rsidR="00A36B97">
              <w:rPr>
                <w:rFonts w:ascii="Arial" w:hAnsi="Arial" w:cs="Arial"/>
                <w:sz w:val="16"/>
              </w:rPr>
              <w:t> </w:t>
            </w:r>
            <w:r>
              <w:rPr>
                <w:rFonts w:ascii="Arial" w:hAnsi="Arial" w:cs="Arial"/>
                <w:sz w:val="16"/>
              </w:rPr>
              <w:t>de Conseils d’Éducation.</w:t>
            </w:r>
            <w:r w:rsidR="00A36B97">
              <w:rPr>
                <w:rFonts w:ascii="Arial" w:hAnsi="Arial" w:cs="Arial"/>
                <w:sz w:val="16"/>
              </w:rPr>
              <w:t xml:space="preserve"> </w:t>
            </w:r>
            <w:r>
              <w:rPr>
                <w:rFonts w:ascii="Arial" w:hAnsi="Arial" w:cs="Arial"/>
                <w:sz w:val="16"/>
              </w:rPr>
              <w:t>Pour lever toute ambigüité, seules les sections d’une</w:t>
            </w:r>
            <w:r w:rsidR="001569DA">
              <w:rPr>
                <w:rFonts w:ascii="Arial" w:hAnsi="Arial" w:cs="Arial"/>
                <w:sz w:val="16"/>
              </w:rPr>
              <w:t> </w:t>
            </w:r>
            <w:r>
              <w:rPr>
                <w:rFonts w:ascii="Arial" w:hAnsi="Arial" w:cs="Arial"/>
                <w:sz w:val="16"/>
              </w:rPr>
              <w:t>académie provinciale ou territoriale dont la seule mission est de fournir des</w:t>
            </w:r>
            <w:r w:rsidR="001569DA">
              <w:rPr>
                <w:rFonts w:ascii="Arial" w:hAnsi="Arial" w:cs="Arial"/>
                <w:sz w:val="16"/>
              </w:rPr>
              <w:t> </w:t>
            </w:r>
            <w:r>
              <w:rPr>
                <w:rFonts w:ascii="Arial" w:hAnsi="Arial" w:cs="Arial"/>
                <w:sz w:val="16"/>
              </w:rPr>
              <w:t>services administratifs aux Établissements d’Enseignement remplissent les</w:t>
            </w:r>
            <w:r w:rsidR="001569DA">
              <w:rPr>
                <w:rFonts w:ascii="Arial" w:hAnsi="Arial" w:cs="Arial"/>
                <w:sz w:val="16"/>
              </w:rPr>
              <w:t> </w:t>
            </w:r>
            <w:r>
              <w:rPr>
                <w:rFonts w:ascii="Arial" w:hAnsi="Arial" w:cs="Arial"/>
                <w:sz w:val="16"/>
              </w:rPr>
              <w:t>conditions pour devenir Client Éducation Éligible Microsoft.</w:t>
            </w:r>
          </w:p>
        </w:tc>
        <w:tc>
          <w:tcPr>
            <w:tcW w:w="3240" w:type="dxa"/>
            <w:gridSpan w:val="2"/>
            <w:tcBorders>
              <w:top w:val="single" w:sz="6" w:space="0" w:color="auto"/>
              <w:bottom w:val="single" w:sz="6" w:space="0" w:color="auto"/>
            </w:tcBorders>
          </w:tcPr>
          <w:p w14:paraId="23111212" w14:textId="37685005" w:rsidR="0011556F" w:rsidRDefault="0011556F" w:rsidP="00B70E28">
            <w:pPr>
              <w:pStyle w:val="ListParagraph"/>
              <w:numPr>
                <w:ilvl w:val="0"/>
                <w:numId w:val="36"/>
              </w:numPr>
              <w:ind w:left="195" w:hanging="180"/>
              <w:rPr>
                <w:rFonts w:ascii="Arial" w:hAnsi="Arial" w:cs="Arial"/>
                <w:sz w:val="16"/>
              </w:rPr>
            </w:pPr>
            <w:r>
              <w:rPr>
                <w:rFonts w:ascii="Arial" w:hAnsi="Arial" w:cs="Arial"/>
                <w:sz w:val="16"/>
              </w:rPr>
              <w:t>Select Plus Éducation</w:t>
            </w:r>
          </w:p>
          <w:p w14:paraId="23111213" w14:textId="2E1A3D7D" w:rsidR="0077680B" w:rsidRPr="00A53D34" w:rsidRDefault="0077680B" w:rsidP="00B70E28">
            <w:pPr>
              <w:pStyle w:val="ListParagraph"/>
              <w:numPr>
                <w:ilvl w:val="0"/>
                <w:numId w:val="36"/>
              </w:numPr>
              <w:ind w:left="195" w:hanging="180"/>
              <w:rPr>
                <w:rFonts w:ascii="Arial" w:hAnsi="Arial" w:cs="Arial"/>
                <w:sz w:val="16"/>
              </w:rPr>
            </w:pPr>
            <w:r>
              <w:rPr>
                <w:rFonts w:ascii="Arial" w:hAnsi="Arial" w:cs="Arial"/>
                <w:sz w:val="16"/>
              </w:rPr>
              <w:t>Accord de Mise en Œuvre de</w:t>
            </w:r>
            <w:r w:rsidR="001569DA">
              <w:rPr>
                <w:rFonts w:ascii="Arial" w:hAnsi="Arial" w:cs="Arial"/>
                <w:sz w:val="16"/>
              </w:rPr>
              <w:t> </w:t>
            </w:r>
            <w:r>
              <w:rPr>
                <w:rFonts w:ascii="Arial" w:hAnsi="Arial" w:cs="Arial"/>
                <w:sz w:val="16"/>
              </w:rPr>
              <w:t>Solutions Éducation) (établissements d’enseignement primaire et</w:t>
            </w:r>
            <w:r w:rsidR="001569DA">
              <w:rPr>
                <w:rFonts w:ascii="Arial" w:hAnsi="Arial" w:cs="Arial"/>
                <w:sz w:val="16"/>
              </w:rPr>
              <w:t> </w:t>
            </w:r>
            <w:r>
              <w:rPr>
                <w:rFonts w:ascii="Arial" w:hAnsi="Arial" w:cs="Arial"/>
                <w:sz w:val="16"/>
              </w:rPr>
              <w:t>secondaire, établissements d’enseignement supérieur et</w:t>
            </w:r>
            <w:r w:rsidR="001569DA">
              <w:rPr>
                <w:rFonts w:ascii="Arial" w:hAnsi="Arial" w:cs="Arial"/>
                <w:sz w:val="16"/>
              </w:rPr>
              <w:t> </w:t>
            </w:r>
            <w:r>
              <w:rPr>
                <w:rFonts w:ascii="Arial" w:hAnsi="Arial" w:cs="Arial"/>
                <w:sz w:val="16"/>
              </w:rPr>
              <w:t>universités)</w:t>
            </w:r>
          </w:p>
          <w:p w14:paraId="50956316" w14:textId="032518CC" w:rsidR="000D5E67" w:rsidRDefault="000D5E67" w:rsidP="00B70E28">
            <w:pPr>
              <w:pStyle w:val="ListParagraph"/>
              <w:numPr>
                <w:ilvl w:val="0"/>
                <w:numId w:val="36"/>
              </w:numPr>
              <w:ind w:left="195" w:hanging="180"/>
              <w:rPr>
                <w:rFonts w:ascii="Arial" w:hAnsi="Arial" w:cs="Arial"/>
                <w:sz w:val="16"/>
              </w:rPr>
            </w:pPr>
            <w:r>
              <w:rPr>
                <w:rFonts w:ascii="Arial" w:hAnsi="Arial" w:cs="Arial"/>
                <w:sz w:val="16"/>
              </w:rPr>
              <w:t>Contrat Get Genuine Windows – Academic</w:t>
            </w:r>
          </w:p>
          <w:p w14:paraId="4134FCFC" w14:textId="33E99CA0" w:rsidR="00454033" w:rsidRDefault="00454033" w:rsidP="00B70E28">
            <w:pPr>
              <w:pStyle w:val="ListParagraph"/>
              <w:numPr>
                <w:ilvl w:val="0"/>
                <w:numId w:val="36"/>
              </w:numPr>
              <w:ind w:left="195" w:hanging="180"/>
              <w:rPr>
                <w:rFonts w:ascii="Arial" w:hAnsi="Arial" w:cs="Arial"/>
                <w:sz w:val="16"/>
              </w:rPr>
            </w:pPr>
            <w:r>
              <w:rPr>
                <w:rFonts w:ascii="Arial" w:hAnsi="Arial" w:cs="Arial"/>
                <w:sz w:val="16"/>
              </w:rPr>
              <w:t xml:space="preserve">Contrat Client Microsoft </w:t>
            </w:r>
            <w:r>
              <w:rPr>
                <w:rFonts w:ascii="Arial" w:hAnsi="Arial" w:cs="Arial"/>
                <w:sz w:val="16"/>
                <w:szCs w:val="16"/>
              </w:rPr>
              <w:t>(comprend CSP)</w:t>
            </w:r>
          </w:p>
          <w:p w14:paraId="0E073530" w14:textId="36653C0F" w:rsidR="000D5E67" w:rsidRDefault="000D5E67" w:rsidP="00B70E28">
            <w:pPr>
              <w:pStyle w:val="ListParagraph"/>
              <w:numPr>
                <w:ilvl w:val="0"/>
                <w:numId w:val="36"/>
              </w:numPr>
              <w:ind w:left="195" w:hanging="180"/>
              <w:rPr>
                <w:rFonts w:ascii="Arial" w:hAnsi="Arial" w:cs="Arial"/>
                <w:sz w:val="16"/>
              </w:rPr>
            </w:pPr>
            <w:r>
              <w:rPr>
                <w:rFonts w:ascii="Arial" w:hAnsi="Arial" w:cs="Arial"/>
                <w:sz w:val="16"/>
              </w:rPr>
              <w:t>Contrat d’Abonnement en</w:t>
            </w:r>
            <w:r w:rsidR="001569DA">
              <w:rPr>
                <w:rFonts w:ascii="Arial" w:hAnsi="Arial" w:cs="Arial"/>
                <w:sz w:val="16"/>
              </w:rPr>
              <w:t> </w:t>
            </w:r>
            <w:r>
              <w:rPr>
                <w:rFonts w:ascii="Arial" w:hAnsi="Arial" w:cs="Arial"/>
                <w:sz w:val="16"/>
              </w:rPr>
              <w:t>Ligne Microsoft</w:t>
            </w:r>
          </w:p>
          <w:p w14:paraId="7E809F8B" w14:textId="61129C15" w:rsidR="000D5E67" w:rsidRDefault="000D5E67" w:rsidP="00B70E28">
            <w:pPr>
              <w:pStyle w:val="ListParagraph"/>
              <w:numPr>
                <w:ilvl w:val="0"/>
                <w:numId w:val="36"/>
              </w:numPr>
              <w:ind w:left="195" w:hanging="180"/>
              <w:rPr>
                <w:rFonts w:ascii="Arial" w:hAnsi="Arial" w:cs="Arial"/>
                <w:sz w:val="16"/>
              </w:rPr>
            </w:pPr>
            <w:r>
              <w:rPr>
                <w:rFonts w:ascii="Arial" w:hAnsi="Arial" w:cs="Arial"/>
                <w:sz w:val="16"/>
              </w:rPr>
              <w:t>Contrat de Fourniture de</w:t>
            </w:r>
            <w:r w:rsidR="001569DA">
              <w:rPr>
                <w:rFonts w:ascii="Arial" w:hAnsi="Arial" w:cs="Arial"/>
                <w:sz w:val="16"/>
              </w:rPr>
              <w:t> </w:t>
            </w:r>
            <w:r>
              <w:rPr>
                <w:rFonts w:ascii="Arial" w:hAnsi="Arial" w:cs="Arial"/>
                <w:sz w:val="16"/>
              </w:rPr>
              <w:t>Produits et de Services Microsoft</w:t>
            </w:r>
          </w:p>
          <w:p w14:paraId="0A33C236" w14:textId="77777777" w:rsidR="004441A8" w:rsidRDefault="004441A8" w:rsidP="00B70E28">
            <w:pPr>
              <w:pStyle w:val="ListParagraph"/>
              <w:numPr>
                <w:ilvl w:val="0"/>
                <w:numId w:val="36"/>
              </w:numPr>
              <w:ind w:left="195" w:hanging="180"/>
              <w:rPr>
                <w:rFonts w:ascii="Arial" w:hAnsi="Arial" w:cs="Arial"/>
                <w:sz w:val="16"/>
              </w:rPr>
            </w:pPr>
            <w:r>
              <w:rPr>
                <w:rFonts w:ascii="Arial" w:hAnsi="Arial" w:cs="Arial"/>
                <w:sz w:val="16"/>
              </w:rPr>
              <w:t xml:space="preserve">Contrat Open Value – Éducation </w:t>
            </w:r>
          </w:p>
          <w:p w14:paraId="79EBF734" w14:textId="2C6ADFE9" w:rsidR="000D5E67" w:rsidRPr="00A36B97" w:rsidRDefault="000D5E67" w:rsidP="00B70E28">
            <w:pPr>
              <w:pStyle w:val="ListParagraph"/>
              <w:numPr>
                <w:ilvl w:val="0"/>
                <w:numId w:val="36"/>
              </w:numPr>
              <w:ind w:left="195" w:hanging="180"/>
              <w:rPr>
                <w:rFonts w:ascii="Arial" w:hAnsi="Arial" w:cs="Arial"/>
                <w:sz w:val="16"/>
                <w:lang w:val="en-US"/>
              </w:rPr>
            </w:pPr>
            <w:r w:rsidRPr="00A36B97">
              <w:rPr>
                <w:rFonts w:ascii="Arial" w:hAnsi="Arial" w:cs="Arial"/>
                <w:sz w:val="16"/>
                <w:lang w:val="en-US"/>
              </w:rPr>
              <w:t>Open Value Souscription – Solutions Éducation (K12 Ed</w:t>
            </w:r>
            <w:r w:rsidR="001569DA">
              <w:rPr>
                <w:rFonts w:ascii="Arial" w:hAnsi="Arial" w:cs="Arial"/>
                <w:sz w:val="16"/>
                <w:lang w:val="en-US"/>
              </w:rPr>
              <w:t> </w:t>
            </w:r>
            <w:r w:rsidRPr="00A36B97">
              <w:rPr>
                <w:rFonts w:ascii="Arial" w:hAnsi="Arial" w:cs="Arial"/>
                <w:sz w:val="16"/>
                <w:lang w:val="en-US"/>
              </w:rPr>
              <w:t>ou Preschool &amp; Higher Ed)</w:t>
            </w:r>
          </w:p>
          <w:p w14:paraId="23111214" w14:textId="10D85A41" w:rsidR="00296B92" w:rsidRPr="002F47DF" w:rsidRDefault="00296B92" w:rsidP="00B70E28">
            <w:pPr>
              <w:pStyle w:val="ListParagraph"/>
              <w:numPr>
                <w:ilvl w:val="0"/>
                <w:numId w:val="36"/>
              </w:numPr>
              <w:ind w:left="195" w:hanging="180"/>
              <w:rPr>
                <w:rFonts w:ascii="Arial" w:hAnsi="Arial" w:cs="Arial"/>
                <w:sz w:val="16"/>
              </w:rPr>
            </w:pPr>
            <w:r>
              <w:rPr>
                <w:rFonts w:ascii="Arial" w:hAnsi="Arial" w:cs="Arial"/>
                <w:sz w:val="16"/>
              </w:rPr>
              <w:t>Contrat School</w:t>
            </w:r>
          </w:p>
          <w:p w14:paraId="72174BAD" w14:textId="352FCA7E" w:rsidR="007F273F" w:rsidRDefault="00DE33B1" w:rsidP="00B70E28">
            <w:pPr>
              <w:pStyle w:val="ListParagraph"/>
              <w:ind w:left="195"/>
              <w:rPr>
                <w:rFonts w:ascii="Arial" w:hAnsi="Arial" w:cs="Arial"/>
                <w:sz w:val="16"/>
              </w:rPr>
            </w:pPr>
            <w:r>
              <w:rPr>
                <w:rFonts w:ascii="Arial" w:hAnsi="Arial" w:cs="Arial"/>
                <w:sz w:val="16"/>
              </w:rPr>
              <w:t>(établissements d’enseignement primaire et</w:t>
            </w:r>
            <w:r w:rsidR="001569DA">
              <w:rPr>
                <w:rFonts w:ascii="Arial" w:hAnsi="Arial" w:cs="Arial"/>
                <w:sz w:val="16"/>
              </w:rPr>
              <w:t> </w:t>
            </w:r>
            <w:r>
              <w:rPr>
                <w:rFonts w:ascii="Arial" w:hAnsi="Arial" w:cs="Arial"/>
                <w:sz w:val="16"/>
              </w:rPr>
              <w:t>secondaire uniquement)</w:t>
            </w:r>
          </w:p>
          <w:p w14:paraId="23111217" w14:textId="49F7C0E2" w:rsidR="002F0A2C" w:rsidRPr="002F47DF" w:rsidRDefault="007F273F" w:rsidP="00B70E28">
            <w:pPr>
              <w:pStyle w:val="ListParagraph"/>
              <w:numPr>
                <w:ilvl w:val="0"/>
                <w:numId w:val="36"/>
              </w:numPr>
              <w:ind w:left="195" w:hanging="180"/>
            </w:pPr>
            <w:r>
              <w:rPr>
                <w:rFonts w:ascii="Arial" w:hAnsi="Arial" w:cs="Arial"/>
                <w:sz w:val="16"/>
              </w:rPr>
              <w:t>Contrat de Licence Prestataire de Services</w:t>
            </w:r>
          </w:p>
        </w:tc>
      </w:tr>
      <w:tr w:rsidR="00DE33B1" w:rsidRPr="002F47DF" w14:paraId="2541631F" w14:textId="77777777" w:rsidTr="00FC48E2">
        <w:trPr>
          <w:gridAfter w:val="1"/>
          <w:wAfter w:w="86" w:type="dxa"/>
          <w:jc w:val="center"/>
        </w:trPr>
        <w:tc>
          <w:tcPr>
            <w:tcW w:w="510" w:type="dxa"/>
            <w:tcBorders>
              <w:top w:val="single" w:sz="6" w:space="0" w:color="auto"/>
              <w:bottom w:val="single" w:sz="6" w:space="0" w:color="auto"/>
            </w:tcBorders>
          </w:tcPr>
          <w:p w14:paraId="7A806A8E" w14:textId="232F466A" w:rsidR="00DE33B1" w:rsidRPr="002F47DF" w:rsidRDefault="00125A08" w:rsidP="0075650B">
            <w:pPr>
              <w:tabs>
                <w:tab w:val="left" w:pos="180"/>
                <w:tab w:val="left" w:pos="360"/>
              </w:tabs>
              <w:ind w:left="180" w:hanging="180"/>
              <w:rPr>
                <w:rFonts w:ascii="Arial" w:hAnsi="Arial" w:cs="Arial"/>
                <w:b/>
                <w:sz w:val="18"/>
              </w:rPr>
            </w:pPr>
            <w:r>
              <w:rPr>
                <w:rFonts w:ascii="Arial" w:hAnsi="Arial" w:cs="Arial"/>
                <w:b/>
                <w:sz w:val="18"/>
              </w:rPr>
              <w:lastRenderedPageBreak/>
              <w:t>C)</w:t>
            </w:r>
          </w:p>
        </w:tc>
        <w:tc>
          <w:tcPr>
            <w:tcW w:w="5610" w:type="dxa"/>
            <w:tcBorders>
              <w:top w:val="single" w:sz="6" w:space="0" w:color="auto"/>
              <w:bottom w:val="single" w:sz="6" w:space="0" w:color="auto"/>
            </w:tcBorders>
          </w:tcPr>
          <w:p w14:paraId="2B84CD76" w14:textId="6CEC7801" w:rsidR="00DE33B1" w:rsidRPr="002F47DF" w:rsidRDefault="00DE33B1" w:rsidP="001569DA">
            <w:pPr>
              <w:pStyle w:val="Heading1"/>
              <w:keepLines/>
              <w:ind w:left="201" w:right="-86" w:hanging="187"/>
              <w:rPr>
                <w:rFonts w:ascii="Arial" w:hAnsi="Arial" w:cs="Arial"/>
                <w:sz w:val="16"/>
              </w:rPr>
            </w:pPr>
            <w:r>
              <w:rPr>
                <w:rFonts w:ascii="Arial" w:hAnsi="Arial" w:cs="Arial"/>
                <w:sz w:val="16"/>
              </w:rPr>
              <w:t>Consortiums et Regroupements d’Établissements d’Enseignement</w:t>
            </w:r>
            <w:r>
              <w:br/>
            </w:r>
            <w:r>
              <w:rPr>
                <w:rFonts w:ascii="Arial" w:hAnsi="Arial" w:cs="Arial"/>
                <w:b w:val="0"/>
                <w:sz w:val="16"/>
              </w:rPr>
              <w:t>Corporations et associations organisées et régies selon les lois du Canada, représentant des membres ou actionnaires de même type (par exemple, des</w:t>
            </w:r>
            <w:r w:rsidR="001569DA">
              <w:rPr>
                <w:rFonts w:ascii="Arial" w:hAnsi="Arial" w:cs="Arial"/>
                <w:b w:val="0"/>
                <w:sz w:val="16"/>
              </w:rPr>
              <w:t> </w:t>
            </w:r>
            <w:r>
              <w:rPr>
                <w:rFonts w:ascii="Arial" w:hAnsi="Arial" w:cs="Arial"/>
                <w:b w:val="0"/>
                <w:sz w:val="16"/>
              </w:rPr>
              <w:t>universités d’État, des écoles indépendantes, des systèmes provinciaux). Chaque membre ou actionnaire doit correspondre à la définition d’Établissement d’Enseignement stipulée à la Section A ci-avant.</w:t>
            </w:r>
          </w:p>
        </w:tc>
        <w:tc>
          <w:tcPr>
            <w:tcW w:w="3154" w:type="dxa"/>
            <w:tcBorders>
              <w:top w:val="single" w:sz="6" w:space="0" w:color="auto"/>
              <w:bottom w:val="single" w:sz="6" w:space="0" w:color="auto"/>
            </w:tcBorders>
          </w:tcPr>
          <w:p w14:paraId="1396EC06" w14:textId="3F010229" w:rsidR="00DE33B1" w:rsidRPr="00DE33B1" w:rsidRDefault="00DE33B1" w:rsidP="00B70E28">
            <w:pPr>
              <w:pStyle w:val="ListParagraph"/>
              <w:numPr>
                <w:ilvl w:val="0"/>
                <w:numId w:val="36"/>
              </w:numPr>
              <w:ind w:left="195" w:hanging="180"/>
              <w:rPr>
                <w:rFonts w:ascii="Arial" w:hAnsi="Arial" w:cs="Arial"/>
                <w:sz w:val="16"/>
              </w:rPr>
            </w:pPr>
            <w:r>
              <w:rPr>
                <w:rFonts w:ascii="Arial" w:hAnsi="Arial" w:cs="Arial"/>
                <w:sz w:val="16"/>
              </w:rPr>
              <w:t>Select Plus Éducation</w:t>
            </w:r>
          </w:p>
          <w:p w14:paraId="1FE95775" w14:textId="154BEC2C" w:rsidR="00DE33B1" w:rsidRPr="00DE33B1" w:rsidRDefault="00DE33B1" w:rsidP="00B70E28">
            <w:pPr>
              <w:pStyle w:val="ListParagraph"/>
              <w:numPr>
                <w:ilvl w:val="0"/>
                <w:numId w:val="36"/>
              </w:numPr>
              <w:ind w:left="195" w:hanging="180"/>
              <w:rPr>
                <w:rFonts w:ascii="Arial" w:hAnsi="Arial" w:cs="Arial"/>
                <w:sz w:val="16"/>
              </w:rPr>
            </w:pPr>
            <w:r>
              <w:rPr>
                <w:rFonts w:ascii="Arial" w:hAnsi="Arial" w:cs="Arial"/>
                <w:sz w:val="16"/>
              </w:rPr>
              <w:t>Accord de Mise en Œuvre de</w:t>
            </w:r>
            <w:r w:rsidR="001569DA">
              <w:rPr>
                <w:rFonts w:ascii="Arial" w:hAnsi="Arial" w:cs="Arial"/>
                <w:sz w:val="16"/>
              </w:rPr>
              <w:t> </w:t>
            </w:r>
            <w:r>
              <w:rPr>
                <w:rFonts w:ascii="Arial" w:hAnsi="Arial" w:cs="Arial"/>
                <w:sz w:val="16"/>
              </w:rPr>
              <w:t>Solutions Éducation) (établissements d’enseignement primaire et secondaire, établissements d’enseignement supérieur et</w:t>
            </w:r>
            <w:r w:rsidR="001569DA">
              <w:rPr>
                <w:rFonts w:ascii="Arial" w:hAnsi="Arial" w:cs="Arial"/>
                <w:sz w:val="16"/>
              </w:rPr>
              <w:t> </w:t>
            </w:r>
            <w:r>
              <w:rPr>
                <w:rFonts w:ascii="Arial" w:hAnsi="Arial" w:cs="Arial"/>
                <w:sz w:val="16"/>
              </w:rPr>
              <w:t>universités)</w:t>
            </w:r>
          </w:p>
          <w:p w14:paraId="0A3B6D65" w14:textId="63588C18" w:rsidR="000D5E67" w:rsidRDefault="000D5E67" w:rsidP="00B70E28">
            <w:pPr>
              <w:pStyle w:val="ListParagraph"/>
              <w:numPr>
                <w:ilvl w:val="0"/>
                <w:numId w:val="36"/>
              </w:numPr>
              <w:ind w:left="195" w:hanging="180"/>
              <w:rPr>
                <w:rFonts w:ascii="Arial" w:hAnsi="Arial" w:cs="Arial"/>
                <w:sz w:val="16"/>
              </w:rPr>
            </w:pPr>
            <w:r>
              <w:rPr>
                <w:rFonts w:ascii="Arial" w:hAnsi="Arial" w:cs="Arial"/>
                <w:sz w:val="16"/>
              </w:rPr>
              <w:t>Contrat Get Genuine Windows – Academic</w:t>
            </w:r>
          </w:p>
          <w:p w14:paraId="57035779" w14:textId="1108A3AE" w:rsidR="00454033" w:rsidRPr="00DE33B1" w:rsidRDefault="00454033" w:rsidP="00B70E28">
            <w:pPr>
              <w:pStyle w:val="ListParagraph"/>
              <w:numPr>
                <w:ilvl w:val="0"/>
                <w:numId w:val="36"/>
              </w:numPr>
              <w:ind w:left="195" w:hanging="180"/>
              <w:rPr>
                <w:rFonts w:ascii="Arial" w:hAnsi="Arial" w:cs="Arial"/>
                <w:sz w:val="16"/>
              </w:rPr>
            </w:pPr>
            <w:r>
              <w:rPr>
                <w:rFonts w:ascii="Arial" w:hAnsi="Arial" w:cs="Arial"/>
                <w:sz w:val="16"/>
              </w:rPr>
              <w:t xml:space="preserve">Contrat Client Microsoft </w:t>
            </w:r>
            <w:r>
              <w:rPr>
                <w:rFonts w:ascii="Arial" w:hAnsi="Arial" w:cs="Arial"/>
                <w:sz w:val="16"/>
                <w:szCs w:val="16"/>
              </w:rPr>
              <w:t>(comprend CSP)</w:t>
            </w:r>
          </w:p>
          <w:p w14:paraId="24E07CA8" w14:textId="57E45FD3" w:rsidR="000D5E67" w:rsidRDefault="000D5E67" w:rsidP="00B70E28">
            <w:pPr>
              <w:pStyle w:val="ListParagraph"/>
              <w:numPr>
                <w:ilvl w:val="0"/>
                <w:numId w:val="36"/>
              </w:numPr>
              <w:ind w:left="195" w:hanging="180"/>
              <w:rPr>
                <w:rFonts w:ascii="Arial" w:hAnsi="Arial" w:cs="Arial"/>
                <w:sz w:val="16"/>
              </w:rPr>
            </w:pPr>
            <w:r>
              <w:rPr>
                <w:rFonts w:ascii="Arial" w:hAnsi="Arial" w:cs="Arial"/>
                <w:sz w:val="16"/>
              </w:rPr>
              <w:t>Contrat d’Abonnement en</w:t>
            </w:r>
            <w:r w:rsidR="001569DA">
              <w:rPr>
                <w:rFonts w:ascii="Arial" w:hAnsi="Arial" w:cs="Arial"/>
                <w:sz w:val="16"/>
              </w:rPr>
              <w:t> </w:t>
            </w:r>
            <w:r>
              <w:rPr>
                <w:rFonts w:ascii="Arial" w:hAnsi="Arial" w:cs="Arial"/>
                <w:sz w:val="16"/>
              </w:rPr>
              <w:t>Ligne Microsoft</w:t>
            </w:r>
          </w:p>
          <w:p w14:paraId="531AFF03" w14:textId="157F94CC" w:rsidR="000D5E67" w:rsidRDefault="000D5E67" w:rsidP="00B70E28">
            <w:pPr>
              <w:pStyle w:val="ListParagraph"/>
              <w:numPr>
                <w:ilvl w:val="0"/>
                <w:numId w:val="36"/>
              </w:numPr>
              <w:ind w:left="195" w:hanging="180"/>
              <w:rPr>
                <w:rFonts w:ascii="Arial" w:hAnsi="Arial" w:cs="Arial"/>
                <w:sz w:val="16"/>
              </w:rPr>
            </w:pPr>
            <w:r>
              <w:rPr>
                <w:rFonts w:ascii="Arial" w:hAnsi="Arial" w:cs="Arial"/>
                <w:sz w:val="16"/>
              </w:rPr>
              <w:t>Contrat de Fourniture de</w:t>
            </w:r>
            <w:r w:rsidR="001569DA">
              <w:rPr>
                <w:rFonts w:ascii="Arial" w:hAnsi="Arial" w:cs="Arial"/>
                <w:sz w:val="16"/>
              </w:rPr>
              <w:t> </w:t>
            </w:r>
            <w:r>
              <w:rPr>
                <w:rFonts w:ascii="Arial" w:hAnsi="Arial" w:cs="Arial"/>
                <w:sz w:val="16"/>
              </w:rPr>
              <w:t>Produits et de Services Microsoft</w:t>
            </w:r>
          </w:p>
          <w:p w14:paraId="4F2FFAE4" w14:textId="77777777" w:rsidR="004441A8" w:rsidRDefault="004441A8" w:rsidP="00B70E28">
            <w:pPr>
              <w:pStyle w:val="ListParagraph"/>
              <w:numPr>
                <w:ilvl w:val="0"/>
                <w:numId w:val="36"/>
              </w:numPr>
              <w:ind w:left="195" w:hanging="180"/>
              <w:rPr>
                <w:rFonts w:ascii="Arial" w:hAnsi="Arial" w:cs="Arial"/>
                <w:sz w:val="16"/>
              </w:rPr>
            </w:pPr>
            <w:r>
              <w:rPr>
                <w:rFonts w:ascii="Arial" w:hAnsi="Arial" w:cs="Arial"/>
                <w:sz w:val="16"/>
              </w:rPr>
              <w:t xml:space="preserve">Contrat Open Value – Éducation </w:t>
            </w:r>
          </w:p>
          <w:p w14:paraId="55CCDC99" w14:textId="0372338B" w:rsidR="00DE33B1" w:rsidRPr="00A36B97" w:rsidRDefault="00DE33B1" w:rsidP="00B70E28">
            <w:pPr>
              <w:pStyle w:val="ListParagraph"/>
              <w:numPr>
                <w:ilvl w:val="0"/>
                <w:numId w:val="36"/>
              </w:numPr>
              <w:ind w:left="195" w:hanging="180"/>
              <w:rPr>
                <w:rFonts w:ascii="Arial" w:hAnsi="Arial" w:cs="Arial"/>
                <w:sz w:val="16"/>
                <w:lang w:val="en-US"/>
              </w:rPr>
            </w:pPr>
            <w:r w:rsidRPr="00A36B97">
              <w:rPr>
                <w:rFonts w:ascii="Arial" w:hAnsi="Arial" w:cs="Arial"/>
                <w:sz w:val="16"/>
                <w:lang w:val="en-US"/>
              </w:rPr>
              <w:t>Open Value Souscription – Solutions Éducation (K12 ED ou Preschool &amp; Higher Ed)</w:t>
            </w:r>
          </w:p>
          <w:p w14:paraId="1D7C1079" w14:textId="77777777" w:rsidR="00B63A40" w:rsidRDefault="00DE33B1" w:rsidP="00B70E28">
            <w:pPr>
              <w:pStyle w:val="ListParagraph"/>
              <w:numPr>
                <w:ilvl w:val="0"/>
                <w:numId w:val="36"/>
              </w:numPr>
              <w:ind w:left="195" w:hanging="180"/>
              <w:rPr>
                <w:rFonts w:ascii="Arial" w:hAnsi="Arial" w:cs="Arial"/>
                <w:sz w:val="16"/>
              </w:rPr>
            </w:pPr>
            <w:r>
              <w:rPr>
                <w:rFonts w:ascii="Arial" w:hAnsi="Arial" w:cs="Arial"/>
                <w:sz w:val="16"/>
              </w:rPr>
              <w:t xml:space="preserve">Contrat School </w:t>
            </w:r>
          </w:p>
          <w:p w14:paraId="2F37C328" w14:textId="63F00C82" w:rsidR="00DE33B1" w:rsidRPr="00DE33B1" w:rsidRDefault="00DE33B1" w:rsidP="00B70E28">
            <w:pPr>
              <w:pStyle w:val="ListParagraph"/>
              <w:ind w:left="195"/>
              <w:rPr>
                <w:rFonts w:ascii="Arial" w:hAnsi="Arial" w:cs="Arial"/>
                <w:sz w:val="16"/>
              </w:rPr>
            </w:pPr>
            <w:r>
              <w:rPr>
                <w:rFonts w:ascii="Arial" w:hAnsi="Arial" w:cs="Arial"/>
                <w:sz w:val="16"/>
              </w:rPr>
              <w:t>(établissements d’enseignement primaire et</w:t>
            </w:r>
            <w:r w:rsidR="001569DA">
              <w:rPr>
                <w:rFonts w:ascii="Arial" w:hAnsi="Arial" w:cs="Arial"/>
                <w:sz w:val="16"/>
              </w:rPr>
              <w:t> </w:t>
            </w:r>
            <w:r>
              <w:rPr>
                <w:rFonts w:ascii="Arial" w:hAnsi="Arial" w:cs="Arial"/>
                <w:sz w:val="16"/>
              </w:rPr>
              <w:t>secondaire uniquement)</w:t>
            </w:r>
          </w:p>
          <w:p w14:paraId="20CAF5B8" w14:textId="2B887CE8" w:rsidR="002F0A2C" w:rsidRPr="004B1B16" w:rsidRDefault="000D5E67" w:rsidP="00B70E28">
            <w:pPr>
              <w:pStyle w:val="ListParagraph"/>
              <w:numPr>
                <w:ilvl w:val="0"/>
                <w:numId w:val="36"/>
              </w:numPr>
              <w:ind w:left="195" w:hanging="180"/>
              <w:rPr>
                <w:rFonts w:ascii="Arial" w:hAnsi="Arial" w:cs="Arial"/>
                <w:sz w:val="16"/>
              </w:rPr>
            </w:pPr>
            <w:r>
              <w:rPr>
                <w:rFonts w:ascii="Arial" w:hAnsi="Arial" w:cs="Arial"/>
                <w:sz w:val="16"/>
              </w:rPr>
              <w:t>Contrat de Licence Prestataire de Services</w:t>
            </w:r>
          </w:p>
        </w:tc>
      </w:tr>
    </w:tbl>
    <w:p w14:paraId="35007201" w14:textId="77777777" w:rsidR="00EA2403" w:rsidRPr="00EA2403" w:rsidRDefault="00EA2403" w:rsidP="007619A9">
      <w:pPr>
        <w:keepNext/>
        <w:keepLines/>
        <w:spacing w:before="120"/>
        <w:rPr>
          <w:rFonts w:ascii="Arial" w:hAnsi="Arial" w:cs="Arial"/>
          <w:b/>
          <w:sz w:val="16"/>
        </w:rPr>
      </w:pPr>
      <w:r>
        <w:rPr>
          <w:rFonts w:ascii="Arial" w:hAnsi="Arial" w:cs="Arial"/>
          <w:b/>
          <w:sz w:val="16"/>
        </w:rPr>
        <w:t>*Légende :</w:t>
      </w:r>
    </w:p>
    <w:p w14:paraId="2311123A" w14:textId="3635F378" w:rsidR="00296B92" w:rsidRDefault="00EA2403" w:rsidP="007619A9">
      <w:pPr>
        <w:keepNext/>
        <w:keepLines/>
        <w:jc w:val="both"/>
        <w:rPr>
          <w:rFonts w:ascii="Arial" w:hAnsi="Arial" w:cs="Arial"/>
          <w:sz w:val="16"/>
        </w:rPr>
      </w:pPr>
      <w:r>
        <w:rPr>
          <w:rFonts w:ascii="Arial" w:hAnsi="Arial" w:cs="Arial"/>
          <w:sz w:val="16"/>
        </w:rPr>
        <w:t>+ Les académies et autres agences de l’administration publique ne peuvent pas utiliser l’édition Éducation du produit pour leur usage interne.</w:t>
      </w:r>
    </w:p>
    <w:p w14:paraId="4464EC9C" w14:textId="55A40526" w:rsidR="00715F4B" w:rsidRPr="00E76399" w:rsidRDefault="00715F4B" w:rsidP="00CA2402">
      <w:pPr>
        <w:keepNext/>
        <w:keepLines/>
        <w:spacing w:before="120"/>
        <w:jc w:val="both"/>
        <w:rPr>
          <w:rFonts w:ascii="Arial" w:hAnsi="Arial" w:cs="Arial"/>
          <w:sz w:val="16"/>
        </w:rPr>
      </w:pPr>
      <w:r>
        <w:rPr>
          <w:rFonts w:ascii="Arial" w:hAnsi="Arial" w:cs="Arial"/>
          <w:sz w:val="16"/>
        </w:rPr>
        <w:t>Remarque concernant les hôpitaux, les systèmes de santé, les laboratoires de recherche et les Centres de Formation du</w:t>
      </w:r>
      <w:r w:rsidR="00B00561">
        <w:rPr>
          <w:rFonts w:ascii="Arial" w:hAnsi="Arial" w:cs="Arial"/>
          <w:sz w:val="16"/>
        </w:rPr>
        <w:t> </w:t>
      </w:r>
      <w:r>
        <w:rPr>
          <w:rFonts w:ascii="Arial" w:hAnsi="Arial" w:cs="Arial"/>
          <w:sz w:val="16"/>
        </w:rPr>
        <w:t xml:space="preserve">Gouvernement : </w:t>
      </w:r>
    </w:p>
    <w:p w14:paraId="72D58F52" w14:textId="60F806D4" w:rsidR="00715F4B" w:rsidRPr="00E76399" w:rsidRDefault="00715F4B" w:rsidP="00CA2402">
      <w:pPr>
        <w:widowControl w:val="0"/>
        <w:jc w:val="both"/>
        <w:rPr>
          <w:rFonts w:ascii="Arial" w:hAnsi="Arial" w:cs="Arial"/>
          <w:sz w:val="16"/>
        </w:rPr>
      </w:pPr>
      <w:r>
        <w:rPr>
          <w:rFonts w:ascii="Arial" w:hAnsi="Arial" w:cs="Arial"/>
          <w:sz w:val="16"/>
        </w:rPr>
        <w:t>Les hôpitaux, les systèmes de santé et les laboratoires de recherche (y compris les laboratoires de recherche indépendants ou les laboratoires de recherche affiliés à un client éducation éligible ou à une agence gouvernementale) ne sont PAS autorisés à acquérir des produits en version Éducation (AE) à moins d’être détenus et gérés à part entière par un même Établissement d’Enseignement éligible défini aux Sections A et B. L’expression « détenu et géré à part entière » suppose que l’Établissement d’Enseignement concerné soit l’unique détenteur de l’hôpital, du système de santé ou du laboratoire de recherche et la seule entité à exercer un</w:t>
      </w:r>
      <w:r w:rsidR="001569DA">
        <w:rPr>
          <w:rFonts w:ascii="Arial" w:hAnsi="Arial" w:cs="Arial"/>
          <w:sz w:val="16"/>
        </w:rPr>
        <w:t> </w:t>
      </w:r>
      <w:r>
        <w:rPr>
          <w:rFonts w:ascii="Arial" w:hAnsi="Arial" w:cs="Arial"/>
          <w:sz w:val="16"/>
        </w:rPr>
        <w:t>contrôle sur les activités quotidiennes dudit hôpital, système de santé ou laboratoire de recherche. les centres de formation du</w:t>
      </w:r>
      <w:r w:rsidR="001569DA">
        <w:rPr>
          <w:rFonts w:ascii="Arial" w:hAnsi="Arial" w:cs="Arial"/>
          <w:sz w:val="16"/>
        </w:rPr>
        <w:t> </w:t>
      </w:r>
      <w:r>
        <w:rPr>
          <w:rFonts w:ascii="Arial" w:hAnsi="Arial" w:cs="Arial"/>
          <w:sz w:val="16"/>
        </w:rPr>
        <w:t xml:space="preserve">gouvernement ou autres centres de formation qui n'octroient pas de diplômes ne sont pas autorisés à acquérir des produits Édition Éducation (AE). </w:t>
      </w:r>
    </w:p>
    <w:sectPr w:rsidR="00715F4B" w:rsidRPr="00E76399" w:rsidSect="00EA2403">
      <w:type w:val="continuous"/>
      <w:pgSz w:w="12240" w:h="15840" w:code="1"/>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ECD9" w14:textId="77777777" w:rsidR="00D84C2C" w:rsidRDefault="00D84C2C">
      <w:r>
        <w:separator/>
      </w:r>
    </w:p>
  </w:endnote>
  <w:endnote w:type="continuationSeparator" w:id="0">
    <w:p w14:paraId="6D076C9C" w14:textId="77777777" w:rsidR="00D84C2C" w:rsidRDefault="00D8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2831" w14:textId="77777777" w:rsidR="002B02D2" w:rsidRDefault="002B0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4A0" w:firstRow="1" w:lastRow="0" w:firstColumn="1" w:lastColumn="0" w:noHBand="0" w:noVBand="1"/>
    </w:tblPr>
    <w:tblGrid>
      <w:gridCol w:w="5138"/>
      <w:gridCol w:w="4222"/>
    </w:tblGrid>
    <w:tr w:rsidR="004741F7" w:rsidRPr="00A84456" w14:paraId="231113CA" w14:textId="77777777" w:rsidTr="00EA2403">
      <w:trPr>
        <w:jc w:val="center"/>
      </w:trPr>
      <w:tc>
        <w:tcPr>
          <w:tcW w:w="4956" w:type="dxa"/>
        </w:tcPr>
        <w:p w14:paraId="231113C8" w14:textId="60C4EE9F" w:rsidR="004741F7" w:rsidRPr="00A84456" w:rsidRDefault="004741F7" w:rsidP="001569DA">
          <w:pPr>
            <w:pStyle w:val="Footer"/>
            <w:rPr>
              <w:rStyle w:val="LogoportDoNotTranslate"/>
              <w:rFonts w:asciiTheme="minorBidi" w:hAnsiTheme="minorBidi" w:cstheme="minorBidi"/>
              <w:color w:val="000000" w:themeColor="text1"/>
              <w:sz w:val="16"/>
              <w:szCs w:val="16"/>
              <w:lang w:val="en-US"/>
            </w:rPr>
          </w:pPr>
          <w:r w:rsidRPr="00A84456">
            <w:rPr>
              <w:rStyle w:val="LogoportDoNotTranslate"/>
              <w:rFonts w:asciiTheme="minorBidi" w:hAnsiTheme="minorBidi" w:cstheme="minorBidi"/>
              <w:color w:val="000000" w:themeColor="text1"/>
              <w:sz w:val="16"/>
              <w:szCs w:val="16"/>
              <w:lang w:val="en-US"/>
            </w:rPr>
            <w:t>AcademicQualEdUserDef(NA)CAN(</w:t>
          </w:r>
          <w:r w:rsidR="001569DA" w:rsidRPr="00A84456">
            <w:rPr>
              <w:rStyle w:val="LogoportDoNotTranslate"/>
              <w:rFonts w:asciiTheme="minorBidi" w:hAnsiTheme="minorBidi" w:cstheme="minorBidi"/>
              <w:color w:val="000000" w:themeColor="text1"/>
              <w:sz w:val="16"/>
              <w:szCs w:val="16"/>
              <w:lang w:val="en-US"/>
            </w:rPr>
            <w:t>FRE</w:t>
          </w:r>
          <w:r w:rsidRPr="00A84456">
            <w:rPr>
              <w:rStyle w:val="LogoportDoNotTranslate"/>
              <w:rFonts w:asciiTheme="minorBidi" w:hAnsiTheme="minorBidi" w:cstheme="minorBidi"/>
              <w:color w:val="000000" w:themeColor="text1"/>
              <w:sz w:val="16"/>
              <w:szCs w:val="16"/>
              <w:lang w:val="en-US"/>
            </w:rPr>
            <w:t>)(</w:t>
          </w:r>
          <w:r w:rsidR="002B02D2">
            <w:rPr>
              <w:rStyle w:val="LogoportDoNotTranslate"/>
              <w:rFonts w:asciiTheme="minorBidi" w:hAnsiTheme="minorBidi" w:cstheme="minorBidi"/>
              <w:color w:val="000000" w:themeColor="text1"/>
              <w:sz w:val="16"/>
              <w:szCs w:val="16"/>
              <w:lang w:val="en-US"/>
            </w:rPr>
            <w:t>Feb2023</w:t>
          </w:r>
          <w:r w:rsidRPr="00A84456">
            <w:rPr>
              <w:rStyle w:val="LogoportDoNotTranslate"/>
              <w:rFonts w:asciiTheme="minorBidi" w:hAnsiTheme="minorBidi" w:cstheme="minorBidi"/>
              <w:color w:val="000000" w:themeColor="text1"/>
              <w:sz w:val="16"/>
              <w:szCs w:val="16"/>
              <w:lang w:val="en-US"/>
            </w:rPr>
            <w:t>)</w:t>
          </w:r>
        </w:p>
      </w:tc>
      <w:tc>
        <w:tcPr>
          <w:tcW w:w="4073" w:type="dxa"/>
        </w:tcPr>
        <w:p w14:paraId="2A4D9CF7" w14:textId="77777777" w:rsidR="004741F7" w:rsidRPr="00A84456" w:rsidRDefault="004741F7" w:rsidP="00781EFE">
          <w:pPr>
            <w:jc w:val="right"/>
            <w:rPr>
              <w:rStyle w:val="LogoportDoNotTranslate"/>
              <w:rFonts w:asciiTheme="minorBidi" w:hAnsiTheme="minorBidi" w:cstheme="minorBidi"/>
              <w:color w:val="000000" w:themeColor="text1"/>
              <w:sz w:val="16"/>
              <w:szCs w:val="16"/>
            </w:rPr>
          </w:pPr>
          <w:r w:rsidRPr="00A84456">
            <w:rPr>
              <w:rStyle w:val="LogoportDoNotTranslate"/>
              <w:rFonts w:asciiTheme="minorBidi" w:hAnsiTheme="minorBidi" w:cstheme="minorBidi"/>
              <w:color w:val="000000" w:themeColor="text1"/>
              <w:sz w:val="16"/>
              <w:szCs w:val="16"/>
            </w:rPr>
            <w:t xml:space="preserve">Page </w:t>
          </w:r>
          <w:r w:rsidRPr="00A84456">
            <w:rPr>
              <w:rStyle w:val="LogoportDoNotTranslate"/>
              <w:rFonts w:asciiTheme="minorBidi" w:hAnsiTheme="minorBidi" w:cstheme="minorBidi"/>
              <w:color w:val="000000" w:themeColor="text1"/>
              <w:sz w:val="16"/>
              <w:szCs w:val="16"/>
            </w:rPr>
            <w:fldChar w:fldCharType="begin"/>
          </w:r>
          <w:r w:rsidRPr="00A84456">
            <w:rPr>
              <w:rStyle w:val="LogoportDoNotTranslate"/>
              <w:rFonts w:asciiTheme="minorBidi" w:hAnsiTheme="minorBidi" w:cstheme="minorBidi"/>
              <w:color w:val="000000" w:themeColor="text1"/>
              <w:sz w:val="16"/>
              <w:szCs w:val="16"/>
            </w:rPr>
            <w:instrText xml:space="preserve"> PAGE </w:instrText>
          </w:r>
          <w:r w:rsidRPr="00A84456">
            <w:rPr>
              <w:rStyle w:val="LogoportDoNotTranslate"/>
              <w:rFonts w:asciiTheme="minorBidi" w:hAnsiTheme="minorBidi" w:cstheme="minorBidi"/>
              <w:color w:val="000000" w:themeColor="text1"/>
              <w:sz w:val="16"/>
              <w:szCs w:val="16"/>
            </w:rPr>
            <w:fldChar w:fldCharType="separate"/>
          </w:r>
          <w:r w:rsidR="00802216" w:rsidRPr="00A84456">
            <w:rPr>
              <w:rStyle w:val="LogoportDoNotTranslate"/>
              <w:rFonts w:asciiTheme="minorBidi" w:hAnsiTheme="minorBidi" w:cstheme="minorBidi"/>
              <w:noProof/>
              <w:color w:val="000000" w:themeColor="text1"/>
              <w:sz w:val="16"/>
              <w:szCs w:val="16"/>
            </w:rPr>
            <w:t>2</w:t>
          </w:r>
          <w:r w:rsidRPr="00A84456">
            <w:rPr>
              <w:rFonts w:asciiTheme="minorBidi" w:hAnsiTheme="minorBidi" w:cstheme="minorBidi"/>
              <w:color w:val="000000" w:themeColor="text1"/>
              <w:sz w:val="16"/>
              <w:szCs w:val="16"/>
            </w:rPr>
            <w:fldChar w:fldCharType="end"/>
          </w:r>
          <w:r w:rsidRPr="00A84456">
            <w:rPr>
              <w:rStyle w:val="LogoportDoNotTranslate"/>
              <w:rFonts w:asciiTheme="minorBidi" w:hAnsiTheme="minorBidi" w:cstheme="minorBidi"/>
              <w:color w:val="000000" w:themeColor="text1"/>
              <w:sz w:val="16"/>
              <w:szCs w:val="16"/>
            </w:rPr>
            <w:t xml:space="preserve"> of </w:t>
          </w:r>
          <w:r w:rsidRPr="00A84456">
            <w:rPr>
              <w:rStyle w:val="LogoportDoNotTranslate"/>
              <w:rFonts w:asciiTheme="minorBidi" w:hAnsiTheme="minorBidi" w:cstheme="minorBidi"/>
              <w:color w:val="000000" w:themeColor="text1"/>
              <w:sz w:val="16"/>
              <w:szCs w:val="16"/>
            </w:rPr>
            <w:fldChar w:fldCharType="begin"/>
          </w:r>
          <w:r w:rsidRPr="00A84456">
            <w:rPr>
              <w:rStyle w:val="LogoportDoNotTranslate"/>
              <w:rFonts w:asciiTheme="minorBidi" w:hAnsiTheme="minorBidi" w:cstheme="minorBidi"/>
              <w:color w:val="000000" w:themeColor="text1"/>
              <w:sz w:val="16"/>
              <w:szCs w:val="16"/>
            </w:rPr>
            <w:instrText xml:space="preserve"> NUMPAGES  </w:instrText>
          </w:r>
          <w:r w:rsidRPr="00A84456">
            <w:rPr>
              <w:rStyle w:val="LogoportDoNotTranslate"/>
              <w:rFonts w:asciiTheme="minorBidi" w:hAnsiTheme="minorBidi" w:cstheme="minorBidi"/>
              <w:color w:val="000000" w:themeColor="text1"/>
              <w:sz w:val="16"/>
              <w:szCs w:val="16"/>
            </w:rPr>
            <w:fldChar w:fldCharType="separate"/>
          </w:r>
          <w:r w:rsidR="00802216" w:rsidRPr="00A84456">
            <w:rPr>
              <w:rStyle w:val="LogoportDoNotTranslate"/>
              <w:rFonts w:asciiTheme="minorBidi" w:hAnsiTheme="minorBidi" w:cstheme="minorBidi"/>
              <w:noProof/>
              <w:color w:val="000000" w:themeColor="text1"/>
              <w:sz w:val="16"/>
              <w:szCs w:val="16"/>
            </w:rPr>
            <w:t>3</w:t>
          </w:r>
          <w:r w:rsidRPr="00A84456">
            <w:rPr>
              <w:rFonts w:asciiTheme="minorBidi" w:hAnsiTheme="minorBidi" w:cstheme="minorBidi"/>
              <w:color w:val="000000" w:themeColor="text1"/>
              <w:sz w:val="16"/>
              <w:szCs w:val="16"/>
            </w:rPr>
            <w:fldChar w:fldCharType="end"/>
          </w:r>
        </w:p>
        <w:p w14:paraId="231113C9" w14:textId="3296325E" w:rsidR="002A32A7" w:rsidRPr="00A84456" w:rsidRDefault="002A32A7" w:rsidP="00781EFE">
          <w:pPr>
            <w:jc w:val="right"/>
            <w:rPr>
              <w:rStyle w:val="LogoportDoNotTranslate"/>
              <w:rFonts w:asciiTheme="minorBidi" w:hAnsiTheme="minorBidi" w:cstheme="minorBidi"/>
              <w:color w:val="000000" w:themeColor="text1"/>
              <w:sz w:val="16"/>
              <w:szCs w:val="16"/>
            </w:rPr>
          </w:pPr>
          <w:r w:rsidRPr="00A84456">
            <w:rPr>
              <w:rStyle w:val="LogoportDoNotTranslate"/>
              <w:rFonts w:asciiTheme="minorBidi" w:hAnsiTheme="minorBidi" w:cstheme="minorBidi"/>
              <w:color w:val="000000" w:themeColor="text1"/>
              <w:sz w:val="16"/>
              <w:szCs w:val="16"/>
            </w:rPr>
            <w:t>Document X20-116</w:t>
          </w:r>
          <w:r w:rsidR="002B02D2">
            <w:rPr>
              <w:rStyle w:val="LogoportDoNotTranslate"/>
              <w:rFonts w:asciiTheme="minorBidi" w:hAnsiTheme="minorBidi" w:cstheme="minorBidi"/>
              <w:color w:val="000000" w:themeColor="text1"/>
              <w:sz w:val="16"/>
              <w:szCs w:val="16"/>
            </w:rPr>
            <w:t>84</w:t>
          </w:r>
        </w:p>
      </w:tc>
    </w:tr>
  </w:tbl>
  <w:p w14:paraId="231113CB" w14:textId="77777777" w:rsidR="004741F7" w:rsidRPr="00A84456" w:rsidRDefault="004741F7">
    <w:pPr>
      <w:pStyle w:val="Footer"/>
      <w:rPr>
        <w:rStyle w:val="LogoportDoNotTranslate"/>
        <w:rFonts w:asciiTheme="minorBidi" w:hAnsiTheme="minorBidi" w:cstheme="minorBidi"/>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4A0" w:firstRow="1" w:lastRow="0" w:firstColumn="1" w:lastColumn="0" w:noHBand="0" w:noVBand="1"/>
    </w:tblPr>
    <w:tblGrid>
      <w:gridCol w:w="5138"/>
      <w:gridCol w:w="4222"/>
    </w:tblGrid>
    <w:tr w:rsidR="004741F7" w:rsidRPr="0023611C" w14:paraId="231113CF" w14:textId="77777777" w:rsidTr="00EA2403">
      <w:trPr>
        <w:jc w:val="center"/>
      </w:trPr>
      <w:tc>
        <w:tcPr>
          <w:tcW w:w="4956" w:type="dxa"/>
        </w:tcPr>
        <w:p w14:paraId="231113CD" w14:textId="152ED10C" w:rsidR="004741F7" w:rsidRPr="0023611C" w:rsidRDefault="004741F7" w:rsidP="001569DA">
          <w:pPr>
            <w:pStyle w:val="Footer"/>
            <w:tabs>
              <w:tab w:val="center" w:pos="4680"/>
              <w:tab w:val="right" w:pos="9360"/>
            </w:tabs>
            <w:rPr>
              <w:rStyle w:val="LogoportDoNotTranslate"/>
              <w:rFonts w:asciiTheme="minorBidi" w:eastAsiaTheme="minorHAnsi" w:hAnsiTheme="minorBidi" w:cstheme="minorBidi"/>
              <w:color w:val="000000" w:themeColor="text1"/>
              <w:sz w:val="16"/>
              <w:szCs w:val="16"/>
              <w:lang w:val="en-GB"/>
            </w:rPr>
          </w:pPr>
          <w:r w:rsidRPr="0023611C">
            <w:rPr>
              <w:rStyle w:val="LogoportDoNotTranslate"/>
              <w:rFonts w:asciiTheme="minorBidi" w:eastAsiaTheme="minorHAnsi" w:hAnsiTheme="minorBidi" w:cstheme="minorBidi"/>
              <w:color w:val="000000" w:themeColor="text1"/>
              <w:sz w:val="16"/>
              <w:szCs w:val="16"/>
              <w:lang w:val="en-US"/>
            </w:rPr>
            <w:t>AcademicQualEdUserDef(NA)CAN(</w:t>
          </w:r>
          <w:r w:rsidR="001569DA" w:rsidRPr="0023611C">
            <w:rPr>
              <w:rStyle w:val="LogoportDoNotTranslate"/>
              <w:rFonts w:asciiTheme="minorBidi" w:eastAsiaTheme="minorHAnsi" w:hAnsiTheme="minorBidi" w:cstheme="minorBidi"/>
              <w:color w:val="000000" w:themeColor="text1"/>
              <w:sz w:val="16"/>
              <w:szCs w:val="16"/>
              <w:lang w:val="en-US"/>
            </w:rPr>
            <w:t>FRE</w:t>
          </w:r>
          <w:r w:rsidRPr="0023611C">
            <w:rPr>
              <w:rStyle w:val="LogoportDoNotTranslate"/>
              <w:rFonts w:asciiTheme="minorBidi" w:eastAsiaTheme="minorHAnsi" w:hAnsiTheme="minorBidi" w:cstheme="minorBidi"/>
              <w:color w:val="000000" w:themeColor="text1"/>
              <w:sz w:val="16"/>
              <w:szCs w:val="16"/>
              <w:lang w:val="en-US"/>
            </w:rPr>
            <w:t>)(</w:t>
          </w:r>
          <w:r w:rsidR="002B02D2">
            <w:rPr>
              <w:rStyle w:val="LogoportDoNotTranslate"/>
              <w:rFonts w:asciiTheme="minorBidi" w:eastAsiaTheme="minorHAnsi" w:hAnsiTheme="minorBidi" w:cstheme="minorBidi"/>
              <w:color w:val="000000" w:themeColor="text1"/>
              <w:sz w:val="16"/>
              <w:szCs w:val="16"/>
              <w:lang w:val="en-US"/>
            </w:rPr>
            <w:t>Feb2023</w:t>
          </w:r>
          <w:r w:rsidRPr="0023611C">
            <w:rPr>
              <w:rStyle w:val="LogoportDoNotTranslate"/>
              <w:rFonts w:asciiTheme="minorBidi" w:eastAsiaTheme="minorHAnsi" w:hAnsiTheme="minorBidi" w:cstheme="minorBidi"/>
              <w:color w:val="000000" w:themeColor="text1"/>
              <w:sz w:val="16"/>
              <w:szCs w:val="16"/>
              <w:lang w:val="en-US"/>
            </w:rPr>
            <w:t>)</w:t>
          </w:r>
        </w:p>
      </w:tc>
      <w:tc>
        <w:tcPr>
          <w:tcW w:w="4073" w:type="dxa"/>
        </w:tcPr>
        <w:p w14:paraId="64215EC9" w14:textId="77777777" w:rsidR="004741F7" w:rsidRPr="0023611C" w:rsidRDefault="004741F7" w:rsidP="00A36B97">
          <w:pPr>
            <w:pStyle w:val="Footer"/>
            <w:tabs>
              <w:tab w:val="center" w:pos="4680"/>
              <w:tab w:val="right" w:pos="9360"/>
            </w:tabs>
            <w:jc w:val="right"/>
            <w:rPr>
              <w:rStyle w:val="LogoportDoNotTranslate"/>
              <w:rFonts w:asciiTheme="minorBidi" w:eastAsiaTheme="minorHAnsi" w:hAnsiTheme="minorBidi" w:cstheme="minorBidi"/>
              <w:color w:val="000000" w:themeColor="text1"/>
              <w:sz w:val="16"/>
              <w:szCs w:val="16"/>
              <w:lang w:val="en-GB"/>
            </w:rPr>
          </w:pPr>
          <w:r w:rsidRPr="0023611C">
            <w:rPr>
              <w:rStyle w:val="LogoportDoNotTranslate"/>
              <w:rFonts w:asciiTheme="minorBidi" w:eastAsiaTheme="minorHAnsi" w:hAnsiTheme="minorBidi" w:cstheme="minorBidi"/>
              <w:color w:val="000000" w:themeColor="text1"/>
              <w:sz w:val="16"/>
              <w:szCs w:val="16"/>
            </w:rPr>
            <w:t xml:space="preserve">Page </w:t>
          </w:r>
          <w:r w:rsidRPr="0023611C">
            <w:rPr>
              <w:rStyle w:val="LogoportDoNotTranslate"/>
              <w:rFonts w:asciiTheme="minorBidi" w:eastAsiaTheme="minorHAnsi" w:hAnsiTheme="minorBidi" w:cstheme="minorBidi"/>
              <w:color w:val="000000" w:themeColor="text1"/>
              <w:sz w:val="16"/>
              <w:szCs w:val="16"/>
            </w:rPr>
            <w:fldChar w:fldCharType="begin"/>
          </w:r>
          <w:r w:rsidRPr="0023611C">
            <w:rPr>
              <w:rStyle w:val="LogoportDoNotTranslate"/>
              <w:rFonts w:asciiTheme="minorBidi" w:eastAsiaTheme="minorHAnsi" w:hAnsiTheme="minorBidi" w:cstheme="minorBidi"/>
              <w:color w:val="000000" w:themeColor="text1"/>
              <w:sz w:val="16"/>
              <w:szCs w:val="16"/>
              <w:lang w:val="en-GB"/>
            </w:rPr>
            <w:instrText xml:space="preserve"> PAGE </w:instrText>
          </w:r>
          <w:r w:rsidRPr="0023611C">
            <w:rPr>
              <w:rStyle w:val="LogoportDoNotTranslate"/>
              <w:rFonts w:asciiTheme="minorBidi" w:eastAsiaTheme="minorHAnsi" w:hAnsiTheme="minorBidi" w:cstheme="minorBidi"/>
              <w:color w:val="000000" w:themeColor="text1"/>
              <w:sz w:val="16"/>
              <w:szCs w:val="16"/>
              <w:lang w:val="en-GB"/>
            </w:rPr>
            <w:fldChar w:fldCharType="separate"/>
          </w:r>
          <w:r w:rsidR="00802216" w:rsidRPr="0023611C">
            <w:rPr>
              <w:rStyle w:val="LogoportDoNotTranslate"/>
              <w:rFonts w:asciiTheme="minorBidi" w:eastAsiaTheme="minorHAnsi" w:hAnsiTheme="minorBidi" w:cstheme="minorBidi"/>
              <w:noProof/>
              <w:color w:val="000000" w:themeColor="text1"/>
              <w:sz w:val="16"/>
              <w:szCs w:val="16"/>
              <w:lang w:val="en-GB"/>
            </w:rPr>
            <w:t>1</w:t>
          </w:r>
          <w:r w:rsidRPr="0023611C">
            <w:rPr>
              <w:rFonts w:asciiTheme="minorBidi" w:hAnsiTheme="minorBidi" w:cstheme="minorBidi"/>
              <w:color w:val="000000" w:themeColor="text1"/>
              <w:sz w:val="16"/>
              <w:szCs w:val="16"/>
            </w:rPr>
            <w:fldChar w:fldCharType="end"/>
          </w:r>
          <w:r w:rsidRPr="0023611C">
            <w:rPr>
              <w:rStyle w:val="LogoportDoNotTranslate"/>
              <w:rFonts w:asciiTheme="minorBidi" w:eastAsiaTheme="minorHAnsi" w:hAnsiTheme="minorBidi" w:cstheme="minorBidi"/>
              <w:color w:val="000000" w:themeColor="text1"/>
              <w:sz w:val="16"/>
              <w:szCs w:val="16"/>
            </w:rPr>
            <w:t xml:space="preserve"> of </w:t>
          </w:r>
          <w:r w:rsidRPr="0023611C">
            <w:rPr>
              <w:rStyle w:val="LogoportDoNotTranslate"/>
              <w:rFonts w:asciiTheme="minorBidi" w:eastAsiaTheme="minorHAnsi" w:hAnsiTheme="minorBidi" w:cstheme="minorBidi"/>
              <w:color w:val="000000" w:themeColor="text1"/>
              <w:sz w:val="16"/>
              <w:szCs w:val="16"/>
            </w:rPr>
            <w:fldChar w:fldCharType="begin"/>
          </w:r>
          <w:r w:rsidRPr="0023611C">
            <w:rPr>
              <w:rStyle w:val="LogoportDoNotTranslate"/>
              <w:rFonts w:asciiTheme="minorBidi" w:eastAsiaTheme="minorHAnsi" w:hAnsiTheme="minorBidi" w:cstheme="minorBidi"/>
              <w:color w:val="000000" w:themeColor="text1"/>
              <w:sz w:val="16"/>
              <w:szCs w:val="16"/>
              <w:lang w:val="en-GB"/>
            </w:rPr>
            <w:instrText xml:space="preserve"> NUMPAGES  </w:instrText>
          </w:r>
          <w:r w:rsidRPr="0023611C">
            <w:rPr>
              <w:rStyle w:val="LogoportDoNotTranslate"/>
              <w:rFonts w:asciiTheme="minorBidi" w:eastAsiaTheme="minorHAnsi" w:hAnsiTheme="minorBidi" w:cstheme="minorBidi"/>
              <w:color w:val="000000" w:themeColor="text1"/>
              <w:sz w:val="16"/>
              <w:szCs w:val="16"/>
              <w:lang w:val="en-GB"/>
            </w:rPr>
            <w:fldChar w:fldCharType="separate"/>
          </w:r>
          <w:r w:rsidR="00802216" w:rsidRPr="0023611C">
            <w:rPr>
              <w:rStyle w:val="LogoportDoNotTranslate"/>
              <w:rFonts w:asciiTheme="minorBidi" w:eastAsiaTheme="minorHAnsi" w:hAnsiTheme="minorBidi" w:cstheme="minorBidi"/>
              <w:noProof/>
              <w:color w:val="000000" w:themeColor="text1"/>
              <w:sz w:val="16"/>
              <w:szCs w:val="16"/>
              <w:lang w:val="en-GB"/>
            </w:rPr>
            <w:t>3</w:t>
          </w:r>
          <w:r w:rsidRPr="0023611C">
            <w:rPr>
              <w:rFonts w:asciiTheme="minorBidi" w:hAnsiTheme="minorBidi" w:cstheme="minorBidi"/>
              <w:color w:val="000000" w:themeColor="text1"/>
              <w:sz w:val="16"/>
              <w:szCs w:val="16"/>
            </w:rPr>
            <w:fldChar w:fldCharType="end"/>
          </w:r>
        </w:p>
        <w:p w14:paraId="231113CE" w14:textId="607FD3E8" w:rsidR="002A32A7" w:rsidRPr="0023611C" w:rsidRDefault="002A32A7" w:rsidP="00A36B97">
          <w:pPr>
            <w:pStyle w:val="Footer"/>
            <w:tabs>
              <w:tab w:val="center" w:pos="4680"/>
              <w:tab w:val="right" w:pos="9360"/>
            </w:tabs>
            <w:jc w:val="right"/>
            <w:rPr>
              <w:rStyle w:val="LogoportDoNotTranslate"/>
              <w:rFonts w:asciiTheme="minorBidi" w:eastAsiaTheme="minorHAnsi" w:hAnsiTheme="minorBidi" w:cstheme="minorBidi"/>
              <w:color w:val="000000" w:themeColor="text1"/>
              <w:sz w:val="16"/>
              <w:szCs w:val="16"/>
              <w:lang w:val="en-GB"/>
            </w:rPr>
          </w:pPr>
          <w:r w:rsidRPr="0023611C">
            <w:rPr>
              <w:rStyle w:val="LogoportDoNotTranslate"/>
              <w:rFonts w:asciiTheme="minorBidi" w:eastAsiaTheme="minorHAnsi" w:hAnsiTheme="minorBidi" w:cstheme="minorBidi"/>
              <w:color w:val="000000" w:themeColor="text1"/>
              <w:sz w:val="16"/>
              <w:szCs w:val="16"/>
            </w:rPr>
            <w:t>Document X20-116</w:t>
          </w:r>
          <w:r w:rsidR="002B02D2">
            <w:rPr>
              <w:rStyle w:val="LogoportDoNotTranslate"/>
              <w:rFonts w:asciiTheme="minorBidi" w:eastAsiaTheme="minorHAnsi" w:hAnsiTheme="minorBidi" w:cstheme="minorBidi"/>
              <w:color w:val="000000" w:themeColor="text1"/>
              <w:sz w:val="16"/>
              <w:szCs w:val="16"/>
            </w:rPr>
            <w:t>84</w:t>
          </w:r>
        </w:p>
      </w:tc>
    </w:tr>
  </w:tbl>
  <w:p w14:paraId="231113D0" w14:textId="77777777" w:rsidR="004741F7" w:rsidRPr="0023611C" w:rsidRDefault="004741F7" w:rsidP="0012216F">
    <w:pPr>
      <w:pStyle w:val="Footer"/>
      <w:tabs>
        <w:tab w:val="center" w:pos="4680"/>
        <w:tab w:val="right" w:pos="9360"/>
      </w:tabs>
      <w:rPr>
        <w:rStyle w:val="LogoportDoNotTranslate"/>
        <w:rFonts w:asciiTheme="minorBidi" w:eastAsiaTheme="minorHAnsi" w:hAnsiTheme="minorBidi" w:cstheme="minorBidi"/>
        <w:color w:val="000000" w:themeColor="text1"/>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7CBA" w14:textId="77777777" w:rsidR="00D84C2C" w:rsidRDefault="00D84C2C">
      <w:r>
        <w:separator/>
      </w:r>
    </w:p>
  </w:footnote>
  <w:footnote w:type="continuationSeparator" w:id="0">
    <w:p w14:paraId="62E30F80" w14:textId="77777777" w:rsidR="00D84C2C" w:rsidRDefault="00D84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2777" w14:textId="3DF3CEF7" w:rsidR="00D707ED" w:rsidRDefault="00000000">
    <w:pPr>
      <w:pStyle w:val="Header"/>
    </w:pPr>
    <w:r>
      <w:pict w14:anchorId="4D57A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90016" o:spid="_x0000_s1026" type="#_x0000_t75" style="position:absolute;margin-left:0;margin-top:0;width:467.75pt;height:263.7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379F4493" w:rsidR="004741F7" w:rsidRDefault="00000000" w:rsidP="00646F0D">
    <w:pPr>
      <w:pStyle w:val="Header"/>
      <w:jc w:val="right"/>
    </w:pPr>
    <w:r>
      <w:pict w14:anchorId="74169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90017" o:spid="_x0000_s1027" type="#_x0000_t75" style="position:absolute;left:0;text-align:left;margin-left:0;margin-top:0;width:467.75pt;height:263.7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62A5ACA9" w:rsidR="004741F7" w:rsidRDefault="00000000" w:rsidP="00646F0D">
    <w:pPr>
      <w:pStyle w:val="Header"/>
      <w:jc w:val="right"/>
    </w:pPr>
    <w:r>
      <w:pict w14:anchorId="08DDB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90015" o:spid="_x0000_s1025" type="#_x0000_t75" style="position:absolute;left:0;text-align:left;margin-left:0;margin-top:0;width:467.75pt;height:263.7pt;z-index:-251656192;mso-position-horizontal:center;mso-position-horizontal-relative:margin;mso-position-vertical:center;mso-position-vertical-relative:margin" o:allowincell="f">
          <v:imagedata r:id="rId1" o:title="Watermark" gain="19661f" blacklevel="22938f"/>
          <w10:wrap anchorx="margin" anchory="margin"/>
        </v:shape>
      </w:pict>
    </w:r>
    <w:r w:rsidR="00FF0682">
      <w:rPr>
        <w:noProof/>
        <w:lang w:val="en-US" w:eastAsia="zh-CN" w:bidi="hi-IN"/>
      </w:rPr>
      <w:drawing>
        <wp:anchor distT="0" distB="0" distL="114300" distR="114300" simplePos="0" relativeHeight="251659264" behindDoc="0" locked="0" layoutInCell="1" allowOverlap="1" wp14:anchorId="5F77B773" wp14:editId="2347C760">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FF0682">
      <w:rPr>
        <w:noProof/>
        <w:lang w:val="en-US" w:eastAsia="zh-CN" w:bidi="hi-IN"/>
      </w:rPr>
      <w:drawing>
        <wp:anchor distT="0" distB="0" distL="114300" distR="114300" simplePos="0" relativeHeight="251658240" behindDoc="0" locked="0" layoutInCell="1" allowOverlap="1" wp14:anchorId="344B89F7" wp14:editId="2385C7E1">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FF0682">
      <w:rPr>
        <w:noProof/>
        <w:lang w:val="en-US" w:eastAsia="zh-CN" w:bidi="hi-IN"/>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6"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78326272"/>
    <w:multiLevelType w:val="hybridMultilevel"/>
    <w:tmpl w:val="B7DE405C"/>
    <w:lvl w:ilvl="0" w:tplc="7ABE4FCA">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495406">
    <w:abstractNumId w:val="10"/>
  </w:num>
  <w:num w:numId="2" w16cid:durableId="1450197959">
    <w:abstractNumId w:val="30"/>
  </w:num>
  <w:num w:numId="3" w16cid:durableId="1282305971">
    <w:abstractNumId w:val="17"/>
  </w:num>
  <w:num w:numId="4" w16cid:durableId="385420025">
    <w:abstractNumId w:val="22"/>
  </w:num>
  <w:num w:numId="5" w16cid:durableId="566385283">
    <w:abstractNumId w:val="2"/>
  </w:num>
  <w:num w:numId="6" w16cid:durableId="2014449393">
    <w:abstractNumId w:val="4"/>
  </w:num>
  <w:num w:numId="7" w16cid:durableId="1675642998">
    <w:abstractNumId w:val="18"/>
  </w:num>
  <w:num w:numId="8" w16cid:durableId="801843546">
    <w:abstractNumId w:val="34"/>
  </w:num>
  <w:num w:numId="9" w16cid:durableId="586039656">
    <w:abstractNumId w:val="27"/>
  </w:num>
  <w:num w:numId="10" w16cid:durableId="882837427">
    <w:abstractNumId w:val="29"/>
  </w:num>
  <w:num w:numId="11" w16cid:durableId="248852002">
    <w:abstractNumId w:val="23"/>
  </w:num>
  <w:num w:numId="12" w16cid:durableId="478157031">
    <w:abstractNumId w:val="20"/>
  </w:num>
  <w:num w:numId="13" w16cid:durableId="119736293">
    <w:abstractNumId w:val="6"/>
  </w:num>
  <w:num w:numId="14" w16cid:durableId="1983534746">
    <w:abstractNumId w:val="14"/>
  </w:num>
  <w:num w:numId="15" w16cid:durableId="1677538455">
    <w:abstractNumId w:val="24"/>
  </w:num>
  <w:num w:numId="16" w16cid:durableId="145168707">
    <w:abstractNumId w:val="31"/>
  </w:num>
  <w:num w:numId="17" w16cid:durableId="552232352">
    <w:abstractNumId w:val="5"/>
  </w:num>
  <w:num w:numId="18" w16cid:durableId="2045903517">
    <w:abstractNumId w:val="35"/>
  </w:num>
  <w:num w:numId="19" w16cid:durableId="1614826493">
    <w:abstractNumId w:val="13"/>
  </w:num>
  <w:num w:numId="20" w16cid:durableId="2060780932">
    <w:abstractNumId w:val="0"/>
  </w:num>
  <w:num w:numId="21" w16cid:durableId="1594699994">
    <w:abstractNumId w:val="16"/>
  </w:num>
  <w:num w:numId="22" w16cid:durableId="1224218268">
    <w:abstractNumId w:val="12"/>
  </w:num>
  <w:num w:numId="23" w16cid:durableId="1502352807">
    <w:abstractNumId w:val="28"/>
  </w:num>
  <w:num w:numId="24" w16cid:durableId="1566333460">
    <w:abstractNumId w:val="21"/>
  </w:num>
  <w:num w:numId="25" w16cid:durableId="1261790108">
    <w:abstractNumId w:val="1"/>
  </w:num>
  <w:num w:numId="26" w16cid:durableId="1746878599">
    <w:abstractNumId w:val="3"/>
  </w:num>
  <w:num w:numId="27" w16cid:durableId="791167946">
    <w:abstractNumId w:val="8"/>
  </w:num>
  <w:num w:numId="28" w16cid:durableId="1901204794">
    <w:abstractNumId w:val="15"/>
  </w:num>
  <w:num w:numId="29" w16cid:durableId="425075955">
    <w:abstractNumId w:val="25"/>
  </w:num>
  <w:num w:numId="30" w16cid:durableId="1034186442">
    <w:abstractNumId w:val="32"/>
  </w:num>
  <w:num w:numId="31" w16cid:durableId="304312235">
    <w:abstractNumId w:val="9"/>
  </w:num>
  <w:num w:numId="32" w16cid:durableId="1690830512">
    <w:abstractNumId w:val="26"/>
  </w:num>
  <w:num w:numId="33" w16cid:durableId="1700860658">
    <w:abstractNumId w:val="19"/>
  </w:num>
  <w:num w:numId="34" w16cid:durableId="647591448">
    <w:abstractNumId w:val="11"/>
  </w:num>
  <w:num w:numId="35" w16cid:durableId="567037911">
    <w:abstractNumId w:val="7"/>
  </w:num>
  <w:num w:numId="36" w16cid:durableId="16472017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07A26"/>
    <w:rsid w:val="000223A9"/>
    <w:rsid w:val="00036309"/>
    <w:rsid w:val="00044AA7"/>
    <w:rsid w:val="00044D04"/>
    <w:rsid w:val="00051E59"/>
    <w:rsid w:val="00054979"/>
    <w:rsid w:val="0006608F"/>
    <w:rsid w:val="00090B9A"/>
    <w:rsid w:val="000A4937"/>
    <w:rsid w:val="000A66FF"/>
    <w:rsid w:val="000A6714"/>
    <w:rsid w:val="000C4276"/>
    <w:rsid w:val="000C5F05"/>
    <w:rsid w:val="000D5E67"/>
    <w:rsid w:val="000E0547"/>
    <w:rsid w:val="000E35C0"/>
    <w:rsid w:val="001131DE"/>
    <w:rsid w:val="00114544"/>
    <w:rsid w:val="0011556F"/>
    <w:rsid w:val="00121ECE"/>
    <w:rsid w:val="0012216F"/>
    <w:rsid w:val="00123BDA"/>
    <w:rsid w:val="00125A08"/>
    <w:rsid w:val="00144258"/>
    <w:rsid w:val="001569DA"/>
    <w:rsid w:val="00192DCC"/>
    <w:rsid w:val="0019381D"/>
    <w:rsid w:val="001A13E8"/>
    <w:rsid w:val="001A2EC4"/>
    <w:rsid w:val="001A4FA5"/>
    <w:rsid w:val="001B614B"/>
    <w:rsid w:val="001C3519"/>
    <w:rsid w:val="001E124D"/>
    <w:rsid w:val="001F0188"/>
    <w:rsid w:val="001F70F2"/>
    <w:rsid w:val="0021499D"/>
    <w:rsid w:val="0023611C"/>
    <w:rsid w:val="00236130"/>
    <w:rsid w:val="00242607"/>
    <w:rsid w:val="00247CC7"/>
    <w:rsid w:val="00252BBC"/>
    <w:rsid w:val="00265D2F"/>
    <w:rsid w:val="00296B92"/>
    <w:rsid w:val="002A32A7"/>
    <w:rsid w:val="002A6AB8"/>
    <w:rsid w:val="002B02D2"/>
    <w:rsid w:val="002B4E73"/>
    <w:rsid w:val="002C5463"/>
    <w:rsid w:val="002E335D"/>
    <w:rsid w:val="002E3B56"/>
    <w:rsid w:val="002F0A2C"/>
    <w:rsid w:val="002F139E"/>
    <w:rsid w:val="00304307"/>
    <w:rsid w:val="00325618"/>
    <w:rsid w:val="00350050"/>
    <w:rsid w:val="00354CCD"/>
    <w:rsid w:val="00357209"/>
    <w:rsid w:val="00362488"/>
    <w:rsid w:val="00380219"/>
    <w:rsid w:val="003A720D"/>
    <w:rsid w:val="003B1BD0"/>
    <w:rsid w:val="003B7352"/>
    <w:rsid w:val="003D1613"/>
    <w:rsid w:val="003D1CAC"/>
    <w:rsid w:val="003E7B74"/>
    <w:rsid w:val="004151D3"/>
    <w:rsid w:val="004441A8"/>
    <w:rsid w:val="00454033"/>
    <w:rsid w:val="0045763B"/>
    <w:rsid w:val="00464EBD"/>
    <w:rsid w:val="004741F7"/>
    <w:rsid w:val="00477294"/>
    <w:rsid w:val="00483EA2"/>
    <w:rsid w:val="004906CC"/>
    <w:rsid w:val="004B1B16"/>
    <w:rsid w:val="004B35D1"/>
    <w:rsid w:val="004C5FF1"/>
    <w:rsid w:val="004F2A73"/>
    <w:rsid w:val="004F49F4"/>
    <w:rsid w:val="004F68CC"/>
    <w:rsid w:val="005046C9"/>
    <w:rsid w:val="00507AD4"/>
    <w:rsid w:val="00513063"/>
    <w:rsid w:val="005204E2"/>
    <w:rsid w:val="0053246A"/>
    <w:rsid w:val="005416E0"/>
    <w:rsid w:val="005423E5"/>
    <w:rsid w:val="00546EC0"/>
    <w:rsid w:val="00553BBB"/>
    <w:rsid w:val="00562882"/>
    <w:rsid w:val="00565294"/>
    <w:rsid w:val="00565302"/>
    <w:rsid w:val="005702B7"/>
    <w:rsid w:val="00582EBB"/>
    <w:rsid w:val="00585E49"/>
    <w:rsid w:val="005A74D1"/>
    <w:rsid w:val="005C79D0"/>
    <w:rsid w:val="005D084A"/>
    <w:rsid w:val="005D3FD9"/>
    <w:rsid w:val="005D50A6"/>
    <w:rsid w:val="005E5A33"/>
    <w:rsid w:val="006073B6"/>
    <w:rsid w:val="00607F99"/>
    <w:rsid w:val="00624BB1"/>
    <w:rsid w:val="00625190"/>
    <w:rsid w:val="00625C19"/>
    <w:rsid w:val="006456A7"/>
    <w:rsid w:val="00646B52"/>
    <w:rsid w:val="00646F0D"/>
    <w:rsid w:val="00662EFC"/>
    <w:rsid w:val="006650F9"/>
    <w:rsid w:val="00692982"/>
    <w:rsid w:val="00695C2C"/>
    <w:rsid w:val="006B1921"/>
    <w:rsid w:val="006E34D4"/>
    <w:rsid w:val="006E7E85"/>
    <w:rsid w:val="006F538E"/>
    <w:rsid w:val="00702CF5"/>
    <w:rsid w:val="007119E9"/>
    <w:rsid w:val="00715F4B"/>
    <w:rsid w:val="00726AC7"/>
    <w:rsid w:val="007319DA"/>
    <w:rsid w:val="0074465A"/>
    <w:rsid w:val="0074598A"/>
    <w:rsid w:val="0075650B"/>
    <w:rsid w:val="007619A9"/>
    <w:rsid w:val="00765D1F"/>
    <w:rsid w:val="007717A3"/>
    <w:rsid w:val="0077680B"/>
    <w:rsid w:val="00781EFE"/>
    <w:rsid w:val="00791B69"/>
    <w:rsid w:val="007F273F"/>
    <w:rsid w:val="00800615"/>
    <w:rsid w:val="00802216"/>
    <w:rsid w:val="00811024"/>
    <w:rsid w:val="00832DB5"/>
    <w:rsid w:val="00853BE3"/>
    <w:rsid w:val="00853D95"/>
    <w:rsid w:val="00866031"/>
    <w:rsid w:val="00875183"/>
    <w:rsid w:val="008823CD"/>
    <w:rsid w:val="008A1148"/>
    <w:rsid w:val="008B3D3D"/>
    <w:rsid w:val="008C0777"/>
    <w:rsid w:val="008C2A71"/>
    <w:rsid w:val="008D277C"/>
    <w:rsid w:val="008D428F"/>
    <w:rsid w:val="008E6810"/>
    <w:rsid w:val="008F0F61"/>
    <w:rsid w:val="00902555"/>
    <w:rsid w:val="00924DDA"/>
    <w:rsid w:val="00960837"/>
    <w:rsid w:val="00964061"/>
    <w:rsid w:val="00981B36"/>
    <w:rsid w:val="00982AB2"/>
    <w:rsid w:val="0098372D"/>
    <w:rsid w:val="00990C4C"/>
    <w:rsid w:val="00991F00"/>
    <w:rsid w:val="009C2702"/>
    <w:rsid w:val="009C422E"/>
    <w:rsid w:val="009D0F98"/>
    <w:rsid w:val="009D3573"/>
    <w:rsid w:val="009E2C0B"/>
    <w:rsid w:val="009F25D6"/>
    <w:rsid w:val="009F72D0"/>
    <w:rsid w:val="00A12C0C"/>
    <w:rsid w:val="00A13ADC"/>
    <w:rsid w:val="00A2705E"/>
    <w:rsid w:val="00A31644"/>
    <w:rsid w:val="00A36B97"/>
    <w:rsid w:val="00A5311D"/>
    <w:rsid w:val="00A5509B"/>
    <w:rsid w:val="00A62E9D"/>
    <w:rsid w:val="00A83B6F"/>
    <w:rsid w:val="00A84456"/>
    <w:rsid w:val="00A94031"/>
    <w:rsid w:val="00AD5441"/>
    <w:rsid w:val="00AE404E"/>
    <w:rsid w:val="00AF364E"/>
    <w:rsid w:val="00AF7FED"/>
    <w:rsid w:val="00B00561"/>
    <w:rsid w:val="00B237C7"/>
    <w:rsid w:val="00B26076"/>
    <w:rsid w:val="00B26AB5"/>
    <w:rsid w:val="00B3593F"/>
    <w:rsid w:val="00B53479"/>
    <w:rsid w:val="00B63A40"/>
    <w:rsid w:val="00B6562D"/>
    <w:rsid w:val="00B70E28"/>
    <w:rsid w:val="00B72AA2"/>
    <w:rsid w:val="00BA0903"/>
    <w:rsid w:val="00BC34A7"/>
    <w:rsid w:val="00BC36C8"/>
    <w:rsid w:val="00BC6300"/>
    <w:rsid w:val="00BD0002"/>
    <w:rsid w:val="00BD6448"/>
    <w:rsid w:val="00BD7570"/>
    <w:rsid w:val="00BF5939"/>
    <w:rsid w:val="00C07237"/>
    <w:rsid w:val="00C116DE"/>
    <w:rsid w:val="00C13FAB"/>
    <w:rsid w:val="00C801C6"/>
    <w:rsid w:val="00C80249"/>
    <w:rsid w:val="00C81343"/>
    <w:rsid w:val="00C8143B"/>
    <w:rsid w:val="00C829CA"/>
    <w:rsid w:val="00C87E22"/>
    <w:rsid w:val="00C93D3B"/>
    <w:rsid w:val="00C9536E"/>
    <w:rsid w:val="00C960C9"/>
    <w:rsid w:val="00C9714C"/>
    <w:rsid w:val="00CA2402"/>
    <w:rsid w:val="00CB19D7"/>
    <w:rsid w:val="00CC1132"/>
    <w:rsid w:val="00CF0526"/>
    <w:rsid w:val="00D17EA6"/>
    <w:rsid w:val="00D32D9B"/>
    <w:rsid w:val="00D3447D"/>
    <w:rsid w:val="00D5324C"/>
    <w:rsid w:val="00D62642"/>
    <w:rsid w:val="00D707ED"/>
    <w:rsid w:val="00D84C2C"/>
    <w:rsid w:val="00DA0BC3"/>
    <w:rsid w:val="00DB50A9"/>
    <w:rsid w:val="00DE33B1"/>
    <w:rsid w:val="00DF2931"/>
    <w:rsid w:val="00E34950"/>
    <w:rsid w:val="00E34A76"/>
    <w:rsid w:val="00E41A25"/>
    <w:rsid w:val="00E44F12"/>
    <w:rsid w:val="00E601DA"/>
    <w:rsid w:val="00E76399"/>
    <w:rsid w:val="00E8079B"/>
    <w:rsid w:val="00E90B76"/>
    <w:rsid w:val="00EA2403"/>
    <w:rsid w:val="00EB45D0"/>
    <w:rsid w:val="00EB520B"/>
    <w:rsid w:val="00EE2910"/>
    <w:rsid w:val="00EE42B7"/>
    <w:rsid w:val="00EE7505"/>
    <w:rsid w:val="00EE792F"/>
    <w:rsid w:val="00EF1D4C"/>
    <w:rsid w:val="00F01066"/>
    <w:rsid w:val="00F03030"/>
    <w:rsid w:val="00F20DA7"/>
    <w:rsid w:val="00F371CA"/>
    <w:rsid w:val="00F75A28"/>
    <w:rsid w:val="00F8670C"/>
    <w:rsid w:val="00F93E58"/>
    <w:rsid w:val="00FA73F9"/>
    <w:rsid w:val="00FB2B1D"/>
    <w:rsid w:val="00FC48E2"/>
    <w:rsid w:val="00FE4E27"/>
    <w:rsid w:val="00FE79FD"/>
    <w:rsid w:val="00FF0682"/>
    <w:rsid w:val="00FF11F6"/>
    <w:rsid w:val="00FF677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rwbBjpbuUz85nCTriY4e7iiUhUk=" w:salt="E2fzswpPuWiD29VnIT8ix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Mention1">
    <w:name w:val="Mention1"/>
    <w:basedOn w:val="DefaultParagraphFont"/>
    <w:uiPriority w:val="99"/>
    <w:semiHidden/>
    <w:unhideWhenUsed/>
    <w:rsid w:val="00715F4B"/>
    <w:rPr>
      <w:color w:val="2B579A"/>
      <w:shd w:val="clear" w:color="auto" w:fill="E6E6E6"/>
    </w:rPr>
  </w:style>
  <w:style w:type="paragraph" w:styleId="Revision">
    <w:name w:val="Revision"/>
    <w:hidden/>
    <w:uiPriority w:val="99"/>
    <w:semiHidden/>
    <w:rsid w:val="00982AB2"/>
    <w:rPr>
      <w:rFonts w:eastAsia="Times New Roman"/>
    </w:rPr>
  </w:style>
  <w:style w:type="character" w:customStyle="1" w:styleId="LogoportDoNotTranslate">
    <w:name w:val="LogoportDoNotTranslate"/>
    <w:basedOn w:val="DefaultParagraphFont"/>
    <w:rsid w:val="0012216F"/>
    <w:rPr>
      <w:rFonts w:ascii="Courier New" w:hAnsi="Courier New" w:cs="Courier New"/>
      <w:b w:val="0"/>
      <w:i w:val="0"/>
      <w:color w:val="80808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D555E39066E448FF89F8F17A78A77" ma:contentTypeVersion="11" ma:contentTypeDescription="Create a new document." ma:contentTypeScope="" ma:versionID="9158ff1b9b55150cce929adf9e5f9020">
  <xsd:schema xmlns:xsd="http://www.w3.org/2001/XMLSchema" xmlns:xs="http://www.w3.org/2001/XMLSchema" xmlns:p="http://schemas.microsoft.com/office/2006/metadata/properties" xmlns:ns2="65cf14e0-56eb-471c-bb53-a5ca750cdde7" xmlns:ns3="78f34290-2e5a-4503-afac-eeb54cdce050" targetNamespace="http://schemas.microsoft.com/office/2006/metadata/properties" ma:root="true" ma:fieldsID="dd5d1f841c3c11e7ed2fa4368c2e7ea0" ns2:_="" ns3:_="">
    <xsd:import namespace="65cf14e0-56eb-471c-bb53-a5ca750cdde7"/>
    <xsd:import namespace="78f34290-2e5a-4503-afac-eeb54cdce0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MediaServiceEventHashCode" minOccurs="0"/>
                <xsd:element ref="ns2:MediaServiceGenerationTime" minOccurs="0"/>
                <xsd:element ref="ns2:MediaServiceAutoKeyPoints" minOccurs="0"/>
                <xsd:element ref="ns2:MediaServiceKeyPoint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f14e0-56eb-471c-bb53-a5ca750cd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Note" ma:index="18"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34290-2e5a-4503-afac-eeb54cdce0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65cf14e0-56eb-471c-bb53-a5ca750cdde7" xsi:nil="true"/>
    <Note xmlns="65cf14e0-56eb-471c-bb53-a5ca750cdd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DCC6A-93F9-49D1-AE68-689006A21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f14e0-56eb-471c-bb53-a5ca750cdde7"/>
    <ds:schemaRef ds:uri="78f34290-2e5a-4503-afac-eeb54cdce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65cf14e0-56eb-471c-bb53-a5ca750cdde7"/>
  </ds:schemaRefs>
</ds:datastoreItem>
</file>

<file path=customXml/itemProps3.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4.xml><?xml version="1.0" encoding="utf-8"?>
<ds:datastoreItem xmlns:ds="http://schemas.openxmlformats.org/officeDocument/2006/customXml" ds:itemID="{242AA3AB-CB25-4659-A173-73D298D7982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76</TotalTime>
  <Pages>2</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6177</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Radmanovic (STRONG-BRIDGE CONSULTING)</dc:creator>
  <cp:lastModifiedBy>Elizabeth Brownell (MURPHY &amp; ASSOCIATES INC)</cp:lastModifiedBy>
  <cp:revision>28</cp:revision>
  <cp:lastPrinted>2021-12-08T06:56:00Z</cp:lastPrinted>
  <dcterms:created xsi:type="dcterms:W3CDTF">2020-10-15T21:16:00Z</dcterms:created>
  <dcterms:modified xsi:type="dcterms:W3CDTF">2022-12-21T02:16:00Z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0x0101002CFD555E39066E448FF89F8F17A78A77</vt:lpwstr>
  </property>
  <property fmtid="{D5CDD505-2E9C-101B-9397-08002B2CF9AE}" pid="3" name="_dlc_DocIdItemGuid">
    <vt:lpwstr>ca7e9cdd-fe1c-4b8c-9a7e-8a17f461d061</vt:lpwstr>
  </property>
  <property fmtid="{D5CDD505-2E9C-101B-9397-08002B2CF9AE}" pid="4" name="Order">
    <vt:r8>14767400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2017-07-10T16:35:08.5786803-07:00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