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0B" w:rsidRDefault="001E630B" w:rsidP="001E630B">
      <w:pPr>
        <w:spacing w:before="240"/>
        <w:jc w:val="left"/>
        <w:rPr>
          <w:rFonts w:cs="Arial Unicode MS"/>
          <w:color w:val="000000"/>
          <w:sz w:val="36"/>
          <w:lang w:val="zh-TW"/>
        </w:rPr>
        <w:sectPr w:rsidR="001E630B" w:rsidSect="00201E9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DF45FD">
        <w:rPr>
          <w:rFonts w:cs="Arial Unicode MS"/>
          <w:color w:val="000000"/>
          <w:sz w:val="36"/>
          <w:lang w:val="zh-TW"/>
        </w:rPr>
        <w:t xml:space="preserve">Microsoft </w:t>
      </w:r>
      <w:r w:rsidRPr="00DF45FD">
        <w:rPr>
          <w:rFonts w:cs="Arial Unicode MS" w:hint="eastAsia"/>
          <w:color w:val="000000"/>
          <w:sz w:val="36"/>
          <w:lang w:val="zh-TW"/>
        </w:rPr>
        <w:t>公共部門機構資格定義</w:t>
      </w:r>
      <w:r w:rsidRPr="00DF45FD">
        <w:rPr>
          <w:rFonts w:cs="Arial Unicode MS"/>
          <w:color w:val="000000"/>
          <w:sz w:val="36"/>
          <w:lang w:val="zh-TW"/>
        </w:rPr>
        <w:t xml:space="preserve"> (</w:t>
      </w:r>
      <w:r w:rsidRPr="00DF45FD">
        <w:rPr>
          <w:rFonts w:cs="Arial Unicode MS" w:hint="eastAsia"/>
          <w:color w:val="000000"/>
          <w:sz w:val="36"/>
          <w:lang w:val="zh-TW"/>
        </w:rPr>
        <w:t>香港特別行政區和澳門特別行政區</w:t>
      </w:r>
      <w:r w:rsidRPr="00DF45FD">
        <w:rPr>
          <w:rFonts w:cs="Arial Unicode MS"/>
          <w:color w:val="000000"/>
          <w:sz w:val="36"/>
          <w:lang w:val="zh-TW"/>
        </w:rPr>
        <w:t>)</w:t>
      </w:r>
    </w:p>
    <w:p w:rsidR="001E630B" w:rsidRPr="00DF45FD" w:rsidRDefault="001E630B" w:rsidP="001E630B">
      <w:pPr>
        <w:spacing w:before="36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lastRenderedPageBreak/>
        <w:t>凡符合下列類別之主體，均可視為香港特別行政區或澳門特別行政區之「合格機構」，可享有</w:t>
      </w:r>
      <w:r w:rsidRPr="00DF45FD">
        <w:rPr>
          <w:rFonts w:cs="Arial Unicode MS"/>
          <w:color w:val="000000"/>
          <w:lang w:val="zh-TW"/>
        </w:rPr>
        <w:t xml:space="preserve"> Microsoft </w:t>
      </w:r>
      <w:r w:rsidRPr="00DF45FD">
        <w:rPr>
          <w:rFonts w:cs="Arial Unicode MS" w:hint="eastAsia"/>
          <w:color w:val="000000"/>
          <w:lang w:val="zh-TW"/>
        </w:rPr>
        <w:t>公共部門機構適用之價位等級：</w:t>
      </w:r>
    </w:p>
    <w:p w:rsidR="001E630B" w:rsidRPr="00DF45FD" w:rsidRDefault="001E630B" w:rsidP="001E630B">
      <w:pPr>
        <w:pStyle w:val="ListParagraph"/>
        <w:numPr>
          <w:ilvl w:val="0"/>
          <w:numId w:val="2"/>
        </w:numPr>
        <w:autoSpaceDE/>
        <w:autoSpaceDN/>
        <w:adjustRightInd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具政府、半政府、行政、財政或司法性質之主體、部會、委員會、主管機關、仲裁庭、代辦處或機構</w:t>
      </w:r>
      <w:r w:rsidRPr="00DF45FD">
        <w:rPr>
          <w:rFonts w:cs="Arial Unicode MS"/>
          <w:color w:val="000000"/>
          <w:lang w:val="zh-TW"/>
        </w:rPr>
        <w:t xml:space="preserve"> (</w:t>
      </w:r>
      <w:r w:rsidRPr="00DF45FD">
        <w:rPr>
          <w:rFonts w:cs="Arial Unicode MS" w:hint="eastAsia"/>
          <w:color w:val="000000"/>
          <w:lang w:val="zh-TW"/>
        </w:rPr>
        <w:t>不論是否已成立公司</w:t>
      </w:r>
      <w:r w:rsidRPr="00DF45FD">
        <w:rPr>
          <w:rFonts w:cs="Arial Unicode MS"/>
          <w:color w:val="000000"/>
          <w:lang w:val="zh-TW"/>
        </w:rPr>
        <w:t>)</w:t>
      </w:r>
      <w:r w:rsidRPr="00DF45FD">
        <w:rPr>
          <w:rFonts w:cs="Arial Unicode MS" w:hint="eastAsia"/>
          <w:color w:val="000000"/>
          <w:lang w:val="zh-TW"/>
        </w:rPr>
        <w:t>：</w:t>
      </w:r>
    </w:p>
    <w:p w:rsidR="001E630B" w:rsidRPr="00DF45FD" w:rsidRDefault="001E630B" w:rsidP="001E630B">
      <w:pPr>
        <w:pStyle w:val="ListParagraph"/>
        <w:numPr>
          <w:ilvl w:val="0"/>
          <w:numId w:val="1"/>
        </w:numPr>
        <w:autoSpaceDE/>
        <w:autoSpaceDN/>
        <w:adjustRightInd/>
        <w:ind w:hanging="360"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依地方政府施行之任何法律而建立；或</w:t>
      </w:r>
    </w:p>
    <w:p w:rsidR="001E630B" w:rsidRPr="00DF45FD" w:rsidRDefault="001E630B" w:rsidP="001E630B">
      <w:pPr>
        <w:pStyle w:val="ListParagraph"/>
        <w:numPr>
          <w:ilvl w:val="0"/>
          <w:numId w:val="1"/>
        </w:numPr>
        <w:autoSpaceDE/>
        <w:autoSpaceDN/>
        <w:adjustRightInd/>
        <w:ind w:hanging="360"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依當地政府為公共事業而直接或間接任命。</w:t>
      </w:r>
    </w:p>
    <w:p w:rsidR="001E630B" w:rsidRPr="00DF45FD" w:rsidRDefault="001E630B" w:rsidP="001E630B">
      <w:pPr>
        <w:pStyle w:val="ListParagraph"/>
        <w:numPr>
          <w:ilvl w:val="0"/>
          <w:numId w:val="2"/>
        </w:numPr>
        <w:autoSpaceDE/>
        <w:autoSpaceDN/>
        <w:adjustRightInd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提供醫療保健服務和保險、制訂或決定特別行政區適用之醫療保健政策、挹注醫療保健服務和保險資金，或是管制醫療保健服務和保險的任何政府組織</w:t>
      </w:r>
      <w:r w:rsidRPr="00DF45FD">
        <w:rPr>
          <w:rFonts w:cs="Arial Unicode MS"/>
          <w:color w:val="000000"/>
          <w:lang w:val="zh-TW"/>
        </w:rPr>
        <w:t>/</w:t>
      </w:r>
      <w:r w:rsidRPr="00DF45FD">
        <w:rPr>
          <w:rFonts w:cs="Arial Unicode MS" w:hint="eastAsia"/>
          <w:color w:val="000000"/>
          <w:lang w:val="zh-TW"/>
        </w:rPr>
        <w:t>機構。</w:t>
      </w:r>
    </w:p>
    <w:p w:rsidR="001E630B" w:rsidRPr="00DF45FD" w:rsidRDefault="001E630B" w:rsidP="001E630B">
      <w:pPr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若符合上述任一類別的組織乃營利性質，還需根據下列額外條件以判定該組織是否具備合格機構資格：</w:t>
      </w:r>
    </w:p>
    <w:p w:rsidR="001E630B" w:rsidRPr="00DF45FD" w:rsidRDefault="001E630B" w:rsidP="001E630B">
      <w:pPr>
        <w:pStyle w:val="ListParagraph"/>
        <w:numPr>
          <w:ilvl w:val="0"/>
          <w:numId w:val="3"/>
        </w:numPr>
        <w:autoSpaceDE/>
        <w:autoSpaceDN/>
        <w:adjustRightInd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其收入</w:t>
      </w:r>
      <w:r w:rsidRPr="00DF45FD">
        <w:rPr>
          <w:rFonts w:cs="Arial Unicode MS"/>
          <w:color w:val="000000"/>
          <w:lang w:val="zh-TW"/>
        </w:rPr>
        <w:t>/</w:t>
      </w:r>
      <w:r w:rsidRPr="00DF45FD">
        <w:rPr>
          <w:rFonts w:cs="Arial Unicode MS" w:hint="eastAsia"/>
          <w:color w:val="000000"/>
          <w:lang w:val="zh-TW"/>
        </w:rPr>
        <w:t>利潤是否全數交予政府</w:t>
      </w:r>
      <w:r w:rsidRPr="00DF45FD">
        <w:rPr>
          <w:rFonts w:cs="Arial Unicode MS"/>
          <w:color w:val="000000"/>
          <w:lang w:val="zh-TW"/>
        </w:rPr>
        <w:t xml:space="preserve"> (</w:t>
      </w:r>
      <w:r w:rsidRPr="00DF45FD">
        <w:rPr>
          <w:rFonts w:cs="Arial Unicode MS" w:hint="eastAsia"/>
          <w:color w:val="000000"/>
          <w:lang w:val="zh-TW"/>
        </w:rPr>
        <w:t>或是同時流往私人股東</w:t>
      </w:r>
      <w:r w:rsidRPr="00DF45FD">
        <w:rPr>
          <w:rFonts w:cs="Arial Unicode MS"/>
          <w:color w:val="000000"/>
          <w:lang w:val="zh-TW"/>
        </w:rPr>
        <w:t>)</w:t>
      </w:r>
      <w:r w:rsidRPr="00DF45FD">
        <w:rPr>
          <w:rFonts w:cs="Arial Unicode MS" w:hint="eastAsia"/>
          <w:color w:val="000000"/>
          <w:lang w:val="zh-TW"/>
        </w:rPr>
        <w:t>？</w:t>
      </w:r>
    </w:p>
    <w:p w:rsidR="001E630B" w:rsidRPr="00DF45FD" w:rsidRDefault="001E630B" w:rsidP="001E630B">
      <w:pPr>
        <w:pStyle w:val="ListParagraph"/>
        <w:numPr>
          <w:ilvl w:val="0"/>
          <w:numId w:val="3"/>
        </w:numPr>
        <w:autoSpaceDE/>
        <w:autoSpaceDN/>
        <w:adjustRightInd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該組織是否享有所得稅豁免權？</w:t>
      </w:r>
    </w:p>
    <w:p w:rsidR="001E630B" w:rsidRPr="00DF45FD" w:rsidRDefault="001E630B" w:rsidP="001E630B">
      <w:pPr>
        <w:pStyle w:val="ListParagraph"/>
        <w:numPr>
          <w:ilvl w:val="0"/>
          <w:numId w:val="3"/>
        </w:numPr>
        <w:autoSpaceDE/>
        <w:autoSpaceDN/>
        <w:adjustRightInd/>
        <w:contextualSpacing w:val="0"/>
        <w:rPr>
          <w:rFonts w:cs="Arial Unicode MS"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州政府向該組織挹注的資金是否超過</w:t>
      </w:r>
      <w:r w:rsidRPr="00DF45FD">
        <w:rPr>
          <w:rFonts w:cs="Arial Unicode MS"/>
          <w:color w:val="000000"/>
          <w:lang w:val="zh-TW"/>
        </w:rPr>
        <w:t xml:space="preserve"> 50% (</w:t>
      </w:r>
      <w:r w:rsidRPr="00DF45FD">
        <w:rPr>
          <w:rFonts w:cs="Arial Unicode MS" w:hint="eastAsia"/>
          <w:color w:val="000000"/>
          <w:lang w:val="zh-TW"/>
        </w:rPr>
        <w:t>亦即，透過商業活動所得的資金是否少於</w:t>
      </w:r>
      <w:r w:rsidRPr="00DF45FD">
        <w:rPr>
          <w:rFonts w:cs="Arial Unicode MS"/>
          <w:color w:val="000000"/>
          <w:lang w:val="zh-TW"/>
        </w:rPr>
        <w:t xml:space="preserve"> 50%)</w:t>
      </w:r>
      <w:r w:rsidRPr="00DF45FD">
        <w:rPr>
          <w:rFonts w:cs="Arial Unicode MS" w:hint="eastAsia"/>
          <w:color w:val="000000"/>
          <w:lang w:val="zh-TW"/>
        </w:rPr>
        <w:t>？</w:t>
      </w:r>
    </w:p>
    <w:p w:rsidR="001E630B" w:rsidRPr="00DF45FD" w:rsidRDefault="001E630B" w:rsidP="001E630B">
      <w:pPr>
        <w:rPr>
          <w:rFonts w:cs="Arial Unicode MS"/>
          <w:b/>
          <w:bCs/>
          <w:color w:val="000000"/>
        </w:rPr>
      </w:pPr>
      <w:r w:rsidRPr="00DF45FD">
        <w:rPr>
          <w:rFonts w:cs="Arial Unicode MS" w:hint="eastAsia"/>
          <w:color w:val="000000"/>
          <w:lang w:val="zh-TW"/>
        </w:rPr>
        <w:t>若上述所有問題的答案均為「是」，則該組織便具備合法機構資格。若上述任一問題的答案為「否」，則該組織便不具備合法機構資格。</w:t>
      </w:r>
    </w:p>
    <w:p w:rsidR="00486EC8" w:rsidRDefault="00486EC8"/>
    <w:sectPr w:rsidR="00486EC8" w:rsidSect="0074450F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5" w:rsidRDefault="005B76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77"/>
      <w:gridCol w:w="4452"/>
    </w:tblGrid>
    <w:tr w:rsidR="00D30C4D" w:rsidRPr="00CA5099" w:rsidTr="00CA5099">
      <w:trPr>
        <w:jc w:val="center"/>
      </w:trPr>
      <w:tc>
        <w:tcPr>
          <w:tcW w:w="4577" w:type="dxa"/>
        </w:tcPr>
        <w:p w:rsidR="00D30C4D" w:rsidRPr="00CA5099" w:rsidRDefault="005B7643" w:rsidP="00F945FA">
          <w:pPr>
            <w:pStyle w:val="Footer"/>
            <w:rPr>
              <w:sz w:val="16"/>
              <w:szCs w:val="16"/>
            </w:rPr>
          </w:pPr>
          <w:r w:rsidRPr="00CA5099">
            <w:rPr>
              <w:sz w:val="16"/>
              <w:szCs w:val="16"/>
            </w:rPr>
            <w:t>GovEligibilityDef(Asia)HK,MAC(ENG)(Oct2012)</w:t>
          </w:r>
        </w:p>
      </w:tc>
      <w:tc>
        <w:tcPr>
          <w:tcW w:w="4452" w:type="dxa"/>
        </w:tcPr>
        <w:p w:rsidR="00D30C4D" w:rsidRPr="00CA5099" w:rsidRDefault="005B7643" w:rsidP="00CA5099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</w:rPr>
            <w:t xml:space="preserve">Page </w:t>
          </w:r>
          <w:r w:rsidRPr="00CA5099">
            <w:rPr>
              <w:sz w:val="16"/>
              <w:szCs w:val="16"/>
            </w:rPr>
            <w:fldChar w:fldCharType="begin"/>
          </w:r>
          <w:r w:rsidRPr="00CA5099">
            <w:rPr>
              <w:sz w:val="16"/>
              <w:szCs w:val="16"/>
            </w:rPr>
            <w:instrText xml:space="preserve"> PAGE  \* Arabic  \* MERGEFORMAT </w:instrText>
          </w:r>
          <w:r w:rsidRPr="00CA5099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CA5099">
            <w:rPr>
              <w:sz w:val="16"/>
              <w:szCs w:val="16"/>
            </w:rPr>
            <w:fldChar w:fldCharType="end"/>
          </w:r>
          <w:r>
            <w:rPr>
              <w:sz w:val="16"/>
            </w:rPr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A5727F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</w:tr>
  </w:tbl>
  <w:p w:rsidR="00D30C4D" w:rsidRPr="00CF4E9C" w:rsidRDefault="005B764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1"/>
      <w:gridCol w:w="4438"/>
    </w:tblGrid>
    <w:tr w:rsidR="00DF45FD" w:rsidRPr="005A7C83" w:rsidTr="00DF45FD">
      <w:trPr>
        <w:jc w:val="center"/>
      </w:trPr>
      <w:tc>
        <w:tcPr>
          <w:tcW w:w="4591" w:type="dxa"/>
        </w:tcPr>
        <w:p w:rsidR="00DF45FD" w:rsidRPr="005A7C83" w:rsidRDefault="005B7643" w:rsidP="00D46ECE">
          <w:pPr>
            <w:pStyle w:val="Footer"/>
            <w:rPr>
              <w:sz w:val="16"/>
              <w:szCs w:val="16"/>
            </w:rPr>
          </w:pPr>
          <w:r w:rsidRPr="005A7C83">
            <w:rPr>
              <w:sz w:val="16"/>
              <w:szCs w:val="16"/>
            </w:rPr>
            <w:t>GovEligibilityDef(Asia)HK,MAC(</w:t>
          </w:r>
          <w:r w:rsidRPr="005A7C83">
            <w:rPr>
              <w:sz w:val="16"/>
              <w:szCs w:val="16"/>
            </w:rPr>
            <w:t>CHT</w:t>
          </w:r>
          <w:r w:rsidRPr="005A7C83">
            <w:rPr>
              <w:sz w:val="16"/>
              <w:szCs w:val="16"/>
            </w:rPr>
            <w:t>)(Oct2012)</w:t>
          </w:r>
        </w:p>
      </w:tc>
      <w:tc>
        <w:tcPr>
          <w:tcW w:w="4438" w:type="dxa"/>
        </w:tcPr>
        <w:p w:rsidR="00DF45FD" w:rsidRPr="005A7C83" w:rsidRDefault="005B7643" w:rsidP="00FA4824">
          <w:pPr>
            <w:pStyle w:val="Footer"/>
            <w:jc w:val="right"/>
            <w:rPr>
              <w:sz w:val="16"/>
              <w:szCs w:val="16"/>
            </w:rPr>
          </w:pPr>
          <w:r w:rsidRPr="005A7C83">
            <w:rPr>
              <w:sz w:val="16"/>
              <w:szCs w:val="16"/>
            </w:rPr>
            <w:t xml:space="preserve">Page </w:t>
          </w:r>
          <w:r w:rsidRPr="005A7C83">
            <w:rPr>
              <w:sz w:val="16"/>
              <w:szCs w:val="16"/>
            </w:rPr>
            <w:fldChar w:fldCharType="begin"/>
          </w:r>
          <w:r w:rsidRPr="005A7C83">
            <w:rPr>
              <w:sz w:val="16"/>
              <w:szCs w:val="16"/>
            </w:rPr>
            <w:instrText xml:space="preserve"> PAGE  \* Arabic  \* MERGEFORMAT </w:instrText>
          </w:r>
          <w:r w:rsidRPr="005A7C83">
            <w:rPr>
              <w:sz w:val="16"/>
              <w:szCs w:val="16"/>
            </w:rPr>
            <w:fldChar w:fldCharType="separate"/>
          </w:r>
          <w:r w:rsidR="001E630B">
            <w:rPr>
              <w:noProof/>
              <w:sz w:val="16"/>
              <w:szCs w:val="16"/>
            </w:rPr>
            <w:t>1</w:t>
          </w:r>
          <w:r w:rsidRPr="005A7C83">
            <w:rPr>
              <w:sz w:val="16"/>
              <w:szCs w:val="16"/>
            </w:rPr>
            <w:fldChar w:fldCharType="end"/>
          </w:r>
          <w:r w:rsidRPr="005A7C83">
            <w:rPr>
              <w:sz w:val="16"/>
              <w:szCs w:val="16"/>
            </w:rPr>
            <w:t xml:space="preserve"> of </w:t>
          </w:r>
          <w:r w:rsidRPr="005A7C83">
            <w:rPr>
              <w:sz w:val="16"/>
              <w:szCs w:val="16"/>
            </w:rPr>
            <w:fldChar w:fldCharType="begin"/>
          </w:r>
          <w:r w:rsidRPr="005A7C83">
            <w:rPr>
              <w:sz w:val="16"/>
              <w:szCs w:val="16"/>
            </w:rPr>
            <w:instrText xml:space="preserve"> NUMPAGES  \* Arabic  \* MERGEFORMAT </w:instrText>
          </w:r>
          <w:r w:rsidRPr="005A7C83">
            <w:rPr>
              <w:sz w:val="16"/>
              <w:szCs w:val="16"/>
            </w:rPr>
            <w:fldChar w:fldCharType="separate"/>
          </w:r>
          <w:r w:rsidR="001E630B">
            <w:rPr>
              <w:noProof/>
              <w:sz w:val="16"/>
              <w:szCs w:val="16"/>
            </w:rPr>
            <w:t>1</w:t>
          </w:r>
          <w:r w:rsidRPr="005A7C83">
            <w:rPr>
              <w:noProof/>
              <w:sz w:val="16"/>
              <w:szCs w:val="16"/>
            </w:rPr>
            <w:fldChar w:fldCharType="end"/>
          </w:r>
        </w:p>
      </w:tc>
    </w:tr>
  </w:tbl>
  <w:p w:rsidR="00D30C4D" w:rsidRPr="005A7C83" w:rsidRDefault="005B7643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5" w:rsidRDefault="005B76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95" w:rsidRDefault="005B76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4D" w:rsidRDefault="005B7643" w:rsidP="00E17EAA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DD0105E" wp14:editId="02108E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03EB3AE" wp14:editId="107FE77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inline distT="0" distB="0" distL="0" distR="0" wp14:anchorId="15DF9521" wp14:editId="3D68BEBF">
          <wp:extent cx="5724525" cy="561975"/>
          <wp:effectExtent l="0" t="0" r="0" b="9525"/>
          <wp:docPr id="4" name="Picture 4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B6D05"/>
    <w:multiLevelType w:val="hybridMultilevel"/>
    <w:tmpl w:val="95CC1BEE"/>
    <w:lvl w:ilvl="0" w:tplc="CE9E06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uhVXi5apht97dxZic4CCQTSvHM=" w:salt="Ul3qZHE6QvD+pNKjKTbhf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0B"/>
    <w:rsid w:val="001E630B"/>
    <w:rsid w:val="00486EC8"/>
    <w:rsid w:val="005B7643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0B"/>
    <w:pPr>
      <w:spacing w:before="120"/>
      <w:jc w:val="both"/>
    </w:pPr>
    <w:rPr>
      <w:rFonts w:eastAsia="PMingLiU" w:cs="Arial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eastAsia="Times New Roman"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1E630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630B"/>
    <w:rPr>
      <w:rFonts w:eastAsia="PMingLiU" w:cs="Arial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E630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630B"/>
    <w:rPr>
      <w:rFonts w:eastAsia="PMingLiU" w:cs="Arial"/>
      <w:lang w:eastAsia="zh-TW"/>
    </w:rPr>
  </w:style>
  <w:style w:type="table" w:styleId="TableGrid">
    <w:name w:val="Table Grid"/>
    <w:basedOn w:val="TableNormal"/>
    <w:uiPriority w:val="59"/>
    <w:rsid w:val="001E630B"/>
    <w:rPr>
      <w:rFonts w:eastAsia="PMingLiU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30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0B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0B"/>
    <w:pPr>
      <w:spacing w:before="120"/>
      <w:jc w:val="both"/>
    </w:pPr>
    <w:rPr>
      <w:rFonts w:eastAsia="PMingLiU" w:cs="Arial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eastAsia="Times New Roman"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1E630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630B"/>
    <w:rPr>
      <w:rFonts w:eastAsia="PMingLiU" w:cs="Arial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E630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630B"/>
    <w:rPr>
      <w:rFonts w:eastAsia="PMingLiU" w:cs="Arial"/>
      <w:lang w:eastAsia="zh-TW"/>
    </w:rPr>
  </w:style>
  <w:style w:type="table" w:styleId="TableGrid">
    <w:name w:val="Table Grid"/>
    <w:basedOn w:val="TableNormal"/>
    <w:uiPriority w:val="59"/>
    <w:rsid w:val="001E630B"/>
    <w:rPr>
      <w:rFonts w:eastAsia="PMingLiU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30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0B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19EE4-3DAB-4E6E-91E3-5B9F321E720F}"/>
</file>

<file path=customXml/itemProps2.xml><?xml version="1.0" encoding="utf-8"?>
<ds:datastoreItem xmlns:ds="http://schemas.openxmlformats.org/officeDocument/2006/customXml" ds:itemID="{EBBE6C76-ABB3-4493-8528-0791740521A3}"/>
</file>

<file path=customXml/itemProps3.xml><?xml version="1.0" encoding="utf-8"?>
<ds:datastoreItem xmlns:ds="http://schemas.openxmlformats.org/officeDocument/2006/customXml" ds:itemID="{8BF0FC35-15FA-41B6-81BE-0B01E7F65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Morrissey (Inviso)</dc:creator>
  <cp:keywords/>
  <dc:description/>
  <cp:lastModifiedBy>Zachary Morrissey (Inviso)</cp:lastModifiedBy>
  <cp:revision>2</cp:revision>
  <dcterms:created xsi:type="dcterms:W3CDTF">2012-08-29T23:05:00Z</dcterms:created>
  <dcterms:modified xsi:type="dcterms:W3CDTF">2012-08-29T23:05:00Z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