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A7" w:rsidRDefault="00BB5EA7" w:rsidP="00BB5EA7">
      <w:pPr>
        <w:spacing w:before="240"/>
        <w:jc w:val="left"/>
        <w:rPr>
          <w:color w:val="000000" w:themeColor="text1"/>
          <w:sz w:val="36"/>
          <w:szCs w:val="36"/>
        </w:rPr>
        <w:sectPr w:rsidR="00BB5EA7" w:rsidSect="00961BF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576" w:footer="432" w:gutter="0"/>
          <w:cols w:space="720"/>
          <w:titlePg/>
          <w:docGrid w:linePitch="360"/>
        </w:sectPr>
      </w:pPr>
      <w:bookmarkStart w:id="0" w:name="_GoBack"/>
      <w:bookmarkEnd w:id="0"/>
      <w:r w:rsidRPr="00925859">
        <w:rPr>
          <w:color w:val="000000" w:themeColor="text1"/>
          <w:sz w:val="36"/>
          <w:szCs w:val="36"/>
        </w:rPr>
        <w:t>Microsoft Public Sector Eligibility Definition (Hong Kong SAR and Macau SAR)</w:t>
      </w:r>
    </w:p>
    <w:p w:rsidR="00BB5EA7" w:rsidRPr="00925859" w:rsidRDefault="00BB5EA7" w:rsidP="00BB5EA7">
      <w:pPr>
        <w:spacing w:before="360"/>
        <w:rPr>
          <w:color w:val="000000" w:themeColor="text1"/>
        </w:rPr>
      </w:pPr>
      <w:r w:rsidRPr="00925859">
        <w:rPr>
          <w:color w:val="000000" w:themeColor="text1"/>
        </w:rPr>
        <w:lastRenderedPageBreak/>
        <w:t>For the purposes of being eligible for Microsoft public sector pricing, an “Eligible entity” in Hong Kong SAR or Macao SAR includes any body that falls under the following categories:</w:t>
      </w:r>
    </w:p>
    <w:p w:rsidR="00BB5EA7" w:rsidRPr="00925859" w:rsidRDefault="00BB5EA7" w:rsidP="00BB5EA7">
      <w:pPr>
        <w:pStyle w:val="ListParagraph"/>
        <w:numPr>
          <w:ilvl w:val="0"/>
          <w:numId w:val="2"/>
        </w:numPr>
        <w:autoSpaceDE/>
        <w:autoSpaceDN/>
        <w:adjustRightInd/>
        <w:contextualSpacing w:val="0"/>
        <w:rPr>
          <w:color w:val="000000" w:themeColor="text1"/>
        </w:rPr>
      </w:pPr>
      <w:r w:rsidRPr="00925859">
        <w:rPr>
          <w:color w:val="000000" w:themeColor="text1"/>
        </w:rPr>
        <w:t>a governmental, semi-governmental, administrative, fiscal, or judicial body, department, commission, authority, tribunal, agency, or entity (whether incorporated or not):</w:t>
      </w:r>
    </w:p>
    <w:p w:rsidR="00BB5EA7" w:rsidRPr="00925859" w:rsidRDefault="00BB5EA7" w:rsidP="00BB5EA7">
      <w:pPr>
        <w:pStyle w:val="ListParagraph"/>
        <w:numPr>
          <w:ilvl w:val="0"/>
          <w:numId w:val="1"/>
        </w:numPr>
        <w:autoSpaceDE/>
        <w:autoSpaceDN/>
        <w:adjustRightInd/>
        <w:ind w:hanging="360"/>
        <w:contextualSpacing w:val="0"/>
        <w:rPr>
          <w:color w:val="000000" w:themeColor="text1"/>
        </w:rPr>
      </w:pPr>
      <w:r w:rsidRPr="00925859">
        <w:rPr>
          <w:color w:val="000000" w:themeColor="text1"/>
        </w:rPr>
        <w:t>established by or under any law administered by the local Government; or</w:t>
      </w:r>
    </w:p>
    <w:p w:rsidR="00BB5EA7" w:rsidRPr="00925859" w:rsidRDefault="00BB5EA7" w:rsidP="00BB5EA7">
      <w:pPr>
        <w:pStyle w:val="ListParagraph"/>
        <w:numPr>
          <w:ilvl w:val="0"/>
          <w:numId w:val="1"/>
        </w:numPr>
        <w:autoSpaceDE/>
        <w:autoSpaceDN/>
        <w:adjustRightInd/>
        <w:ind w:hanging="360"/>
        <w:contextualSpacing w:val="0"/>
        <w:rPr>
          <w:color w:val="000000" w:themeColor="text1"/>
        </w:rPr>
      </w:pPr>
      <w:r w:rsidRPr="00925859">
        <w:rPr>
          <w:color w:val="000000" w:themeColor="text1"/>
        </w:rPr>
        <w:t>appointed by the local Government, directly or indirectly, for a public purpose,</w:t>
      </w:r>
    </w:p>
    <w:p w:rsidR="00BB5EA7" w:rsidRPr="00925859" w:rsidRDefault="00BB5EA7" w:rsidP="00BB5EA7">
      <w:pPr>
        <w:pStyle w:val="ListParagraph"/>
        <w:numPr>
          <w:ilvl w:val="0"/>
          <w:numId w:val="2"/>
        </w:numPr>
        <w:autoSpaceDE/>
        <w:autoSpaceDN/>
        <w:adjustRightInd/>
        <w:contextualSpacing w:val="0"/>
        <w:rPr>
          <w:color w:val="000000" w:themeColor="text1"/>
        </w:rPr>
      </w:pPr>
      <w:r w:rsidRPr="00925859">
        <w:rPr>
          <w:bCs/>
          <w:color w:val="000000" w:themeColor="text1"/>
        </w:rPr>
        <w:t>Any governmental organizations/institutions that provide health care services and coverage, set or decide on health care policy across the SAR, provide funding for health care services and coverage, or have a regulatory role in health care services and coverage.</w:t>
      </w:r>
    </w:p>
    <w:p w:rsidR="00BB5EA7" w:rsidRPr="00925859" w:rsidRDefault="00BB5EA7" w:rsidP="00BB5EA7">
      <w:pPr>
        <w:rPr>
          <w:color w:val="000000" w:themeColor="text1"/>
        </w:rPr>
      </w:pPr>
      <w:r w:rsidRPr="00925859">
        <w:rPr>
          <w:color w:val="000000" w:themeColor="text1"/>
        </w:rPr>
        <w:t>If an organization fits into one of the categories described above and operates for profit, the following additional criteria will be applied to determine whether an organization qualifies as an eligible entity:</w:t>
      </w:r>
    </w:p>
    <w:p w:rsidR="00BB5EA7" w:rsidRPr="00925859" w:rsidRDefault="00BB5EA7" w:rsidP="00BB5EA7">
      <w:pPr>
        <w:pStyle w:val="ListParagraph"/>
        <w:numPr>
          <w:ilvl w:val="0"/>
          <w:numId w:val="3"/>
        </w:numPr>
        <w:autoSpaceDE/>
        <w:autoSpaceDN/>
        <w:adjustRightInd/>
        <w:contextualSpacing w:val="0"/>
        <w:rPr>
          <w:color w:val="000000" w:themeColor="text1"/>
        </w:rPr>
      </w:pPr>
      <w:r w:rsidRPr="00925859">
        <w:rPr>
          <w:color w:val="000000" w:themeColor="text1"/>
        </w:rPr>
        <w:t>Do the revenues/profits go solely to the government (or do they also go to private shareholders)?</w:t>
      </w:r>
    </w:p>
    <w:p w:rsidR="00BB5EA7" w:rsidRPr="00925859" w:rsidRDefault="00BB5EA7" w:rsidP="00BB5EA7">
      <w:pPr>
        <w:pStyle w:val="ListParagraph"/>
        <w:numPr>
          <w:ilvl w:val="0"/>
          <w:numId w:val="3"/>
        </w:numPr>
        <w:autoSpaceDE/>
        <w:autoSpaceDN/>
        <w:adjustRightInd/>
        <w:contextualSpacing w:val="0"/>
        <w:rPr>
          <w:color w:val="000000" w:themeColor="text1"/>
        </w:rPr>
      </w:pPr>
      <w:r w:rsidRPr="00925859">
        <w:rPr>
          <w:color w:val="000000" w:themeColor="text1"/>
        </w:rPr>
        <w:t>Is the organization in question exempt from income tax?</w:t>
      </w:r>
    </w:p>
    <w:p w:rsidR="00BB5EA7" w:rsidRPr="00925859" w:rsidRDefault="00BB5EA7" w:rsidP="00BB5EA7">
      <w:pPr>
        <w:pStyle w:val="ListParagraph"/>
        <w:numPr>
          <w:ilvl w:val="0"/>
          <w:numId w:val="3"/>
        </w:numPr>
        <w:autoSpaceDE/>
        <w:autoSpaceDN/>
        <w:adjustRightInd/>
        <w:contextualSpacing w:val="0"/>
        <w:rPr>
          <w:color w:val="000000" w:themeColor="text1"/>
        </w:rPr>
      </w:pPr>
      <w:r w:rsidRPr="00925859">
        <w:rPr>
          <w:color w:val="000000" w:themeColor="text1"/>
        </w:rPr>
        <w:t>Is the organization financed more than 50% by the government (i.e., does it derive less than 50% of its funding from commercial activities)?</w:t>
      </w:r>
    </w:p>
    <w:p w:rsidR="00BB5EA7" w:rsidRPr="00925859" w:rsidRDefault="00BB5EA7" w:rsidP="00BB5EA7">
      <w:pPr>
        <w:rPr>
          <w:b/>
          <w:bCs/>
          <w:color w:val="000000" w:themeColor="text1"/>
        </w:rPr>
      </w:pPr>
      <w:r w:rsidRPr="00925859">
        <w:rPr>
          <w:color w:val="000000" w:themeColor="text1"/>
        </w:rPr>
        <w:t>If the answer to all of these questions is “yes,” then the organization qualifies as an eligible entity. If the answer to any of the questions above is “no,” then the organization does not qualify as an eligible entity.</w:t>
      </w:r>
    </w:p>
    <w:p w:rsidR="00486EC8" w:rsidRDefault="00486EC8"/>
    <w:sectPr w:rsidR="00486EC8" w:rsidSect="00DC7DC0">
      <w:type w:val="continuous"/>
      <w:pgSz w:w="11907" w:h="16839" w:code="9"/>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F7" w:rsidRDefault="009C7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452"/>
    </w:tblGrid>
    <w:tr w:rsidR="00413D84" w:rsidRPr="00387A64" w:rsidTr="00413D84">
      <w:trPr>
        <w:jc w:val="center"/>
      </w:trPr>
      <w:tc>
        <w:tcPr>
          <w:tcW w:w="4577" w:type="dxa"/>
        </w:tcPr>
        <w:p w:rsidR="00413D84" w:rsidRPr="00387A64" w:rsidRDefault="009C7DB9" w:rsidP="00612072">
          <w:pPr>
            <w:pStyle w:val="Footer"/>
            <w:rPr>
              <w:sz w:val="16"/>
              <w:szCs w:val="16"/>
            </w:rPr>
          </w:pPr>
          <w:r>
            <w:rPr>
              <w:sz w:val="16"/>
              <w:szCs w:val="16"/>
            </w:rPr>
            <w:t>GovEligibilityDef(Asia)HK,MAC</w:t>
          </w:r>
          <w:r w:rsidRPr="00387A64">
            <w:rPr>
              <w:sz w:val="16"/>
              <w:szCs w:val="16"/>
            </w:rPr>
            <w:t>(ENG)(Oct2012)</w:t>
          </w:r>
        </w:p>
      </w:tc>
      <w:tc>
        <w:tcPr>
          <w:tcW w:w="4452" w:type="dxa"/>
        </w:tcPr>
        <w:p w:rsidR="00413D84" w:rsidRPr="00387A64" w:rsidRDefault="009C7DB9" w:rsidP="0061207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Pr>
              <w:noProof/>
              <w:sz w:val="16"/>
              <w:szCs w:val="16"/>
            </w:rPr>
            <w:t>2</w:t>
          </w:r>
          <w:r w:rsidRPr="00387A64">
            <w:rPr>
              <w:noProof/>
              <w:sz w:val="16"/>
              <w:szCs w:val="16"/>
            </w:rPr>
            <w:fldChar w:fldCharType="end"/>
          </w:r>
        </w:p>
      </w:tc>
    </w:tr>
  </w:tbl>
  <w:p w:rsidR="00413D84" w:rsidRPr="00CF4E9C" w:rsidRDefault="009C7DB9">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452"/>
    </w:tblGrid>
    <w:tr w:rsidR="005D37CF" w:rsidRPr="00387A64" w:rsidTr="00997BA6">
      <w:trPr>
        <w:jc w:val="center"/>
      </w:trPr>
      <w:tc>
        <w:tcPr>
          <w:tcW w:w="4621" w:type="dxa"/>
        </w:tcPr>
        <w:p w:rsidR="005D37CF" w:rsidRPr="00387A64" w:rsidRDefault="009C7DB9" w:rsidP="00997BA6">
          <w:pPr>
            <w:pStyle w:val="Footer"/>
            <w:rPr>
              <w:sz w:val="16"/>
              <w:szCs w:val="16"/>
            </w:rPr>
          </w:pPr>
          <w:r>
            <w:rPr>
              <w:sz w:val="16"/>
              <w:szCs w:val="16"/>
            </w:rPr>
            <w:t>GovEligibilityDef(Asia)HK,MAC</w:t>
          </w:r>
          <w:r w:rsidRPr="00387A64">
            <w:rPr>
              <w:sz w:val="16"/>
              <w:szCs w:val="16"/>
            </w:rPr>
            <w:t>(ENG)(Oct2012)</w:t>
          </w:r>
        </w:p>
      </w:tc>
      <w:tc>
        <w:tcPr>
          <w:tcW w:w="4622" w:type="dxa"/>
        </w:tcPr>
        <w:p w:rsidR="005D37CF" w:rsidRPr="00387A64" w:rsidRDefault="009C7DB9"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BB5EA7">
            <w:rPr>
              <w:noProof/>
              <w:sz w:val="16"/>
              <w:szCs w:val="16"/>
            </w:rPr>
            <w:t>1</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BB5EA7">
            <w:rPr>
              <w:noProof/>
              <w:sz w:val="16"/>
              <w:szCs w:val="16"/>
            </w:rPr>
            <w:t>1</w:t>
          </w:r>
          <w:r w:rsidRPr="00387A64">
            <w:rPr>
              <w:noProof/>
              <w:sz w:val="16"/>
              <w:szCs w:val="16"/>
            </w:rPr>
            <w:fldChar w:fldCharType="end"/>
          </w:r>
        </w:p>
      </w:tc>
    </w:tr>
  </w:tbl>
  <w:p w:rsidR="005D37CF" w:rsidRPr="00E17EAA" w:rsidRDefault="009C7DB9">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F7" w:rsidRDefault="009C7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F7" w:rsidRDefault="009C7D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7CF" w:rsidRDefault="009C7DB9" w:rsidP="00E17EAA">
    <w:pPr>
      <w:pStyle w:val="Header"/>
      <w:jc w:val="right"/>
    </w:pPr>
    <w:r>
      <w:rPr>
        <w:noProof/>
      </w:rPr>
      <w:drawing>
        <wp:anchor distT="0" distB="0" distL="114300" distR="114300" simplePos="0" relativeHeight="251660288" behindDoc="0" locked="0" layoutInCell="1" allowOverlap="1" wp14:anchorId="39281FE9" wp14:editId="535CF068">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F7F998D" wp14:editId="4D3292E9">
          <wp:simplePos x="0" y="0"/>
          <wp:positionH relativeFrom="margin">
            <wp:align>center</wp:align>
          </wp:positionH>
          <wp:positionV relativeFrom="margin">
            <wp:align>center</wp:align>
          </wp:positionV>
          <wp:extent cx="5667375" cy="3200400"/>
          <wp:effectExtent l="0" t="0" r="9525" b="0"/>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83AC292" wp14:editId="71473147">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B6D05"/>
    <w:multiLevelType w:val="hybridMultilevel"/>
    <w:tmpl w:val="95CC1BEE"/>
    <w:lvl w:ilvl="0" w:tplc="CE9E066A">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Mep6BaCDHpWHLZ2avnT9N8uiLi8=" w:salt="N4MZkx3MGTgp7CD5QyaM5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A7"/>
    <w:rsid w:val="00486EC8"/>
    <w:rsid w:val="009C7DB9"/>
    <w:rsid w:val="00BB5EA7"/>
    <w:rsid w:val="00F61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A7"/>
    <w:pPr>
      <w:spacing w:before="120"/>
      <w:jc w:val="both"/>
    </w:pPr>
    <w:rPr>
      <w:rFonts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eastAsia="Times New Roman"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BB5EA7"/>
    <w:pPr>
      <w:tabs>
        <w:tab w:val="center" w:pos="4680"/>
        <w:tab w:val="right" w:pos="9360"/>
      </w:tabs>
      <w:spacing w:before="0"/>
    </w:pPr>
  </w:style>
  <w:style w:type="character" w:customStyle="1" w:styleId="HeaderChar">
    <w:name w:val="Header Char"/>
    <w:basedOn w:val="DefaultParagraphFont"/>
    <w:link w:val="Header"/>
    <w:uiPriority w:val="99"/>
    <w:rsid w:val="00BB5EA7"/>
    <w:rPr>
      <w:rFonts w:cs="Arial"/>
    </w:rPr>
  </w:style>
  <w:style w:type="paragraph" w:styleId="Footer">
    <w:name w:val="footer"/>
    <w:basedOn w:val="Normal"/>
    <w:link w:val="FooterChar"/>
    <w:uiPriority w:val="99"/>
    <w:unhideWhenUsed/>
    <w:rsid w:val="00BB5EA7"/>
    <w:pPr>
      <w:tabs>
        <w:tab w:val="center" w:pos="4680"/>
        <w:tab w:val="right" w:pos="9360"/>
      </w:tabs>
      <w:spacing w:before="0"/>
    </w:pPr>
  </w:style>
  <w:style w:type="character" w:customStyle="1" w:styleId="FooterChar">
    <w:name w:val="Footer Char"/>
    <w:basedOn w:val="DefaultParagraphFont"/>
    <w:link w:val="Footer"/>
    <w:uiPriority w:val="99"/>
    <w:rsid w:val="00BB5EA7"/>
    <w:rPr>
      <w:rFonts w:cs="Arial"/>
    </w:rPr>
  </w:style>
  <w:style w:type="table" w:styleId="TableGrid">
    <w:name w:val="Table Grid"/>
    <w:basedOn w:val="TableNormal"/>
    <w:uiPriority w:val="59"/>
    <w:rsid w:val="00BB5EA7"/>
    <w:pPr>
      <w:jc w:val="both"/>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5EA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EA7"/>
    <w:pPr>
      <w:spacing w:before="120"/>
      <w:jc w:val="both"/>
    </w:pPr>
    <w:rPr>
      <w:rFonts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eastAsia="Times New Roman"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BB5EA7"/>
    <w:pPr>
      <w:tabs>
        <w:tab w:val="center" w:pos="4680"/>
        <w:tab w:val="right" w:pos="9360"/>
      </w:tabs>
      <w:spacing w:before="0"/>
    </w:pPr>
  </w:style>
  <w:style w:type="character" w:customStyle="1" w:styleId="HeaderChar">
    <w:name w:val="Header Char"/>
    <w:basedOn w:val="DefaultParagraphFont"/>
    <w:link w:val="Header"/>
    <w:uiPriority w:val="99"/>
    <w:rsid w:val="00BB5EA7"/>
    <w:rPr>
      <w:rFonts w:cs="Arial"/>
    </w:rPr>
  </w:style>
  <w:style w:type="paragraph" w:styleId="Footer">
    <w:name w:val="footer"/>
    <w:basedOn w:val="Normal"/>
    <w:link w:val="FooterChar"/>
    <w:uiPriority w:val="99"/>
    <w:unhideWhenUsed/>
    <w:rsid w:val="00BB5EA7"/>
    <w:pPr>
      <w:tabs>
        <w:tab w:val="center" w:pos="4680"/>
        <w:tab w:val="right" w:pos="9360"/>
      </w:tabs>
      <w:spacing w:before="0"/>
    </w:pPr>
  </w:style>
  <w:style w:type="character" w:customStyle="1" w:styleId="FooterChar">
    <w:name w:val="Footer Char"/>
    <w:basedOn w:val="DefaultParagraphFont"/>
    <w:link w:val="Footer"/>
    <w:uiPriority w:val="99"/>
    <w:rsid w:val="00BB5EA7"/>
    <w:rPr>
      <w:rFonts w:cs="Arial"/>
    </w:rPr>
  </w:style>
  <w:style w:type="table" w:styleId="TableGrid">
    <w:name w:val="Table Grid"/>
    <w:basedOn w:val="TableNormal"/>
    <w:uiPriority w:val="59"/>
    <w:rsid w:val="00BB5EA7"/>
    <w:pPr>
      <w:jc w:val="both"/>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5EA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4D6A8-1181-4950-B2C0-B14260AFED66}"/>
</file>

<file path=customXml/itemProps2.xml><?xml version="1.0" encoding="utf-8"?>
<ds:datastoreItem xmlns:ds="http://schemas.openxmlformats.org/officeDocument/2006/customXml" ds:itemID="{AB07DE75-D2B1-473D-BF0A-1BC6B22C8D9D}"/>
</file>

<file path=customXml/itemProps3.xml><?xml version="1.0" encoding="utf-8"?>
<ds:datastoreItem xmlns:ds="http://schemas.openxmlformats.org/officeDocument/2006/customXml" ds:itemID="{FE536F74-C165-4791-9DCB-9FC38CC77FAB}"/>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Company>Microsoft Corporation</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Morrissey (Inviso)</dc:creator>
  <cp:keywords/>
  <dc:description/>
  <cp:lastModifiedBy>Zachary Morrissey (Inviso)</cp:lastModifiedBy>
  <cp:revision>2</cp:revision>
  <dcterms:created xsi:type="dcterms:W3CDTF">2012-08-29T23:05:00Z</dcterms:created>
  <dcterms:modified xsi:type="dcterms:W3CDTF">2012-08-29T23:05:00Z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