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27" w:rsidRPr="002F2E27" w:rsidRDefault="002F2E27" w:rsidP="002F2E27">
      <w:pPr>
        <w:spacing w:before="240"/>
        <w:jc w:val="left"/>
        <w:rPr>
          <w:rFonts w:eastAsia="SimSun"/>
          <w:sz w:val="36"/>
          <w:szCs w:val="36"/>
        </w:rPr>
        <w:sectPr w:rsidR="002F2E27" w:rsidRPr="002F2E27" w:rsidSect="0016589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576" w:footer="432" w:gutter="0"/>
          <w:cols w:space="720"/>
          <w:titlePg/>
          <w:docGrid w:linePitch="360"/>
        </w:sectPr>
      </w:pPr>
      <w:bookmarkStart w:id="0" w:name="_GoBack"/>
      <w:bookmarkEnd w:id="0"/>
      <w:r w:rsidRPr="002F2E27">
        <w:rPr>
          <w:rFonts w:eastAsia="SimSun"/>
          <w:sz w:val="36"/>
          <w:szCs w:val="36"/>
        </w:rPr>
        <w:t>微软政府资格定义</w:t>
      </w:r>
      <w:r w:rsidRPr="002F2E27">
        <w:rPr>
          <w:rFonts w:eastAsia="SimSun"/>
          <w:sz w:val="36"/>
          <w:szCs w:val="36"/>
        </w:rPr>
        <w:t xml:space="preserve"> (PRC)</w:t>
      </w:r>
    </w:p>
    <w:p w:rsidR="002F2E27" w:rsidRPr="002F2E27" w:rsidRDefault="002F2E27" w:rsidP="002F2E27">
      <w:pPr>
        <w:spacing w:before="360" w:after="120"/>
        <w:rPr>
          <w:rFonts w:eastAsia="SimSun"/>
        </w:rPr>
      </w:pPr>
      <w:r w:rsidRPr="002F2E27">
        <w:rPr>
          <w:rFonts w:eastAsia="SimSun"/>
        </w:rPr>
        <w:lastRenderedPageBreak/>
        <w:t>符合以下内容定义和描述的类别或标准的公共部门机构（以下简称</w:t>
      </w:r>
      <w:r w:rsidR="00861F6B">
        <w:rPr>
          <w:rFonts w:eastAsia="SimSun"/>
          <w:lang w:val="en-US"/>
        </w:rPr>
        <w:t> </w:t>
      </w:r>
      <w:r w:rsidRPr="002F2E27">
        <w:rPr>
          <w:rFonts w:eastAsia="SimSun"/>
        </w:rPr>
        <w:t>“</w:t>
      </w:r>
      <w:r w:rsidRPr="002F2E27">
        <w:rPr>
          <w:rFonts w:eastAsia="SimSun"/>
        </w:rPr>
        <w:t>合格实体</w:t>
      </w:r>
      <w:r w:rsidRPr="002F2E27">
        <w:rPr>
          <w:rFonts w:eastAsia="SimSun"/>
        </w:rPr>
        <w:t>”</w:t>
      </w:r>
      <w:r w:rsidRPr="002F2E27">
        <w:rPr>
          <w:rFonts w:eastAsia="SimSun"/>
        </w:rPr>
        <w:t>）有资格加入专为政府设计的微软批量许可计划。</w:t>
      </w:r>
      <w:r w:rsidRPr="002F2E27">
        <w:rPr>
          <w:rFonts w:eastAsia="SimSun"/>
        </w:rPr>
        <w:t>“</w:t>
      </w:r>
      <w:r w:rsidRPr="002F2E27">
        <w:rPr>
          <w:rFonts w:eastAsia="SimSun"/>
        </w:rPr>
        <w:t>合格实体</w:t>
      </w:r>
      <w:r w:rsidRPr="002F2E27">
        <w:rPr>
          <w:rFonts w:eastAsia="SimSun"/>
        </w:rPr>
        <w:t>”</w:t>
      </w:r>
      <w:r w:rsidR="001260E4">
        <w:rPr>
          <w:rFonts w:eastAsia="SimSun"/>
          <w:lang w:val="en-US"/>
        </w:rPr>
        <w:t xml:space="preserve"> </w:t>
      </w:r>
      <w:r w:rsidRPr="002F2E27">
        <w:rPr>
          <w:rFonts w:eastAsia="SimSun"/>
        </w:rPr>
        <w:t>意指任何非营利性的、属于以下类别之一的机构：</w:t>
      </w:r>
    </w:p>
    <w:tbl>
      <w:tblPr>
        <w:tblStyle w:val="TableGrid"/>
        <w:tblW w:w="9029" w:type="dxa"/>
        <w:jc w:val="center"/>
        <w:tblLook w:val="04A0" w:firstRow="1" w:lastRow="0" w:firstColumn="1" w:lastColumn="0" w:noHBand="0" w:noVBand="1"/>
      </w:tblPr>
      <w:tblGrid>
        <w:gridCol w:w="2553"/>
        <w:gridCol w:w="6476"/>
      </w:tblGrid>
      <w:tr w:rsidR="002F2E27" w:rsidRPr="002F2E27" w:rsidTr="00DD317E">
        <w:trPr>
          <w:cantSplit/>
          <w:tblHeader/>
          <w:jc w:val="center"/>
        </w:trPr>
        <w:tc>
          <w:tcPr>
            <w:tcW w:w="9029" w:type="dxa"/>
            <w:gridSpan w:val="2"/>
            <w:shd w:val="clear" w:color="auto" w:fill="000000" w:themeFill="text1"/>
          </w:tcPr>
          <w:p w:rsidR="002F2E27" w:rsidRPr="002F2E27" w:rsidRDefault="002F2E27" w:rsidP="00DD317E">
            <w:pPr>
              <w:keepNext/>
              <w:spacing w:after="120"/>
              <w:rPr>
                <w:rFonts w:eastAsia="SimSun"/>
                <w:b/>
                <w:bCs/>
                <w:color w:val="FFFFFF" w:themeColor="background1"/>
              </w:rPr>
            </w:pPr>
            <w:r w:rsidRPr="002F2E27">
              <w:rPr>
                <w:rFonts w:eastAsia="SimSun"/>
                <w:b/>
                <w:bCs/>
                <w:color w:val="FFFFFF" w:themeColor="background1"/>
              </w:rPr>
              <w:t>类别</w:t>
            </w:r>
          </w:p>
        </w:tc>
      </w:tr>
      <w:tr w:rsidR="002F2E27" w:rsidRPr="002F2E27" w:rsidTr="001260E4">
        <w:trPr>
          <w:cantSplit/>
          <w:tblHeader/>
          <w:jc w:val="center"/>
        </w:trPr>
        <w:tc>
          <w:tcPr>
            <w:tcW w:w="2553" w:type="dxa"/>
            <w:vAlign w:val="center"/>
          </w:tcPr>
          <w:p w:rsidR="002F2E27" w:rsidRPr="002F2E27" w:rsidRDefault="002F2E27" w:rsidP="00DD317E">
            <w:pPr>
              <w:spacing w:after="120"/>
              <w:jc w:val="left"/>
              <w:rPr>
                <w:rFonts w:eastAsia="SimSun"/>
                <w:b/>
                <w:bCs/>
              </w:rPr>
            </w:pPr>
            <w:r w:rsidRPr="002F2E27">
              <w:rPr>
                <w:rFonts w:eastAsia="SimSun"/>
                <w:b/>
                <w:bCs/>
              </w:rPr>
              <w:t xml:space="preserve">A. </w:t>
            </w:r>
            <w:r w:rsidRPr="002F2E27">
              <w:rPr>
                <w:rFonts w:eastAsia="SimSun"/>
                <w:b/>
                <w:bCs/>
              </w:rPr>
              <w:t>超国家类</w:t>
            </w:r>
          </w:p>
        </w:tc>
        <w:tc>
          <w:tcPr>
            <w:tcW w:w="6476" w:type="dxa"/>
            <w:vAlign w:val="center"/>
          </w:tcPr>
          <w:p w:rsidR="002F2E27" w:rsidRPr="002F2E27" w:rsidRDefault="002F2E27" w:rsidP="00DD317E">
            <w:pPr>
              <w:spacing w:after="120"/>
              <w:rPr>
                <w:rFonts w:eastAsia="SimSun"/>
              </w:rPr>
            </w:pPr>
            <w:r w:rsidRPr="002F2E27">
              <w:rPr>
                <w:rFonts w:eastAsia="SimSun"/>
              </w:rPr>
              <w:t>所有在多国政府间拥有可识别的调控或立法职能的组织</w:t>
            </w:r>
            <w:r w:rsidRPr="002F2E27">
              <w:rPr>
                <w:rFonts w:eastAsia="SimSun"/>
              </w:rPr>
              <w:t>/</w:t>
            </w:r>
            <w:r w:rsidRPr="002F2E27">
              <w:rPr>
                <w:rFonts w:eastAsia="SimSun"/>
              </w:rPr>
              <w:t>机构。</w:t>
            </w:r>
          </w:p>
        </w:tc>
      </w:tr>
      <w:tr w:rsidR="002F2E27" w:rsidRPr="002F2E27" w:rsidTr="001260E4">
        <w:trPr>
          <w:cantSplit/>
          <w:tblHeader/>
          <w:jc w:val="center"/>
        </w:trPr>
        <w:tc>
          <w:tcPr>
            <w:tcW w:w="2553" w:type="dxa"/>
            <w:vAlign w:val="center"/>
          </w:tcPr>
          <w:p w:rsidR="002F2E27" w:rsidRPr="002F2E27" w:rsidRDefault="002F2E27" w:rsidP="00DD317E">
            <w:pPr>
              <w:spacing w:after="120"/>
              <w:jc w:val="left"/>
              <w:rPr>
                <w:rFonts w:eastAsia="SimSun"/>
                <w:b/>
                <w:bCs/>
              </w:rPr>
            </w:pPr>
            <w:r w:rsidRPr="002F2E27">
              <w:rPr>
                <w:rFonts w:eastAsia="SimSun"/>
                <w:b/>
                <w:bCs/>
              </w:rPr>
              <w:t xml:space="preserve">B. </w:t>
            </w:r>
            <w:r w:rsidRPr="002F2E27">
              <w:rPr>
                <w:rFonts w:eastAsia="SimSun"/>
                <w:b/>
                <w:bCs/>
              </w:rPr>
              <w:t>国家类</w:t>
            </w:r>
          </w:p>
        </w:tc>
        <w:tc>
          <w:tcPr>
            <w:tcW w:w="6476" w:type="dxa"/>
            <w:vAlign w:val="center"/>
          </w:tcPr>
          <w:p w:rsidR="002F2E27" w:rsidRPr="002F2E27" w:rsidRDefault="002F2E27" w:rsidP="00DD317E">
            <w:pPr>
              <w:spacing w:after="120"/>
              <w:rPr>
                <w:rFonts w:eastAsia="SimSun"/>
              </w:rPr>
            </w:pPr>
            <w:r w:rsidRPr="002F2E27">
              <w:rPr>
                <w:rFonts w:eastAsia="SimSun"/>
              </w:rPr>
              <w:t>所有在国家一级管理的、拥有全国管辖权的政府性组织</w:t>
            </w:r>
            <w:r w:rsidRPr="002F2E27">
              <w:rPr>
                <w:rFonts w:eastAsia="SimSun"/>
              </w:rPr>
              <w:t>/</w:t>
            </w:r>
            <w:r w:rsidRPr="002F2E27">
              <w:rPr>
                <w:rFonts w:eastAsia="SimSun"/>
              </w:rPr>
              <w:t>机构。这包括有权执行、设立或决定法规的管理、议会及司法机构。</w:t>
            </w:r>
          </w:p>
        </w:tc>
      </w:tr>
      <w:tr w:rsidR="002F2E27" w:rsidRPr="002F2E27" w:rsidTr="001260E4">
        <w:trPr>
          <w:cantSplit/>
          <w:tblHeader/>
          <w:jc w:val="center"/>
        </w:trPr>
        <w:tc>
          <w:tcPr>
            <w:tcW w:w="2553" w:type="dxa"/>
            <w:vAlign w:val="center"/>
          </w:tcPr>
          <w:p w:rsidR="002F2E27" w:rsidRPr="002F2E27" w:rsidRDefault="002F2E27" w:rsidP="00DD317E">
            <w:pPr>
              <w:spacing w:after="120"/>
              <w:jc w:val="left"/>
              <w:rPr>
                <w:rFonts w:eastAsia="SimSun"/>
                <w:b/>
                <w:bCs/>
              </w:rPr>
            </w:pPr>
            <w:r w:rsidRPr="002F2E27">
              <w:rPr>
                <w:rFonts w:eastAsia="SimSun"/>
                <w:b/>
                <w:bCs/>
              </w:rPr>
              <w:t xml:space="preserve">C. </w:t>
            </w:r>
            <w:r w:rsidRPr="002F2E27">
              <w:rPr>
                <w:rFonts w:eastAsia="SimSun"/>
                <w:b/>
                <w:bCs/>
              </w:rPr>
              <w:t>省类</w:t>
            </w:r>
          </w:p>
        </w:tc>
        <w:tc>
          <w:tcPr>
            <w:tcW w:w="6476" w:type="dxa"/>
            <w:vAlign w:val="center"/>
          </w:tcPr>
          <w:p w:rsidR="002F2E27" w:rsidRPr="002F2E27" w:rsidRDefault="002F2E27" w:rsidP="00DD317E">
            <w:pPr>
              <w:spacing w:after="120"/>
              <w:rPr>
                <w:rFonts w:eastAsia="SimSun"/>
              </w:rPr>
            </w:pPr>
            <w:r w:rsidRPr="002F2E27">
              <w:rPr>
                <w:rFonts w:eastAsia="SimSun"/>
              </w:rPr>
              <w:t>政府的中间层，虽不能管辖整个国家，但其管辖范围包括地方政府的多个领域。这包括</w:t>
            </w:r>
            <w:r w:rsidRPr="002F2E27">
              <w:rPr>
                <w:rFonts w:eastAsia="SimSun"/>
              </w:rPr>
              <w:t xml:space="preserve"> (1) </w:t>
            </w:r>
            <w:r w:rsidRPr="002F2E27">
              <w:rPr>
                <w:rFonts w:eastAsia="SimSun"/>
              </w:rPr>
              <w:t>所有在省</w:t>
            </w:r>
            <w:r w:rsidRPr="002F2E27">
              <w:rPr>
                <w:rFonts w:eastAsia="SimSun"/>
              </w:rPr>
              <w:t>/</w:t>
            </w:r>
            <w:r w:rsidRPr="002F2E27">
              <w:rPr>
                <w:rFonts w:eastAsia="SimSun"/>
              </w:rPr>
              <w:t>地区一级管理的政府性组织</w:t>
            </w:r>
            <w:r w:rsidRPr="002F2E27">
              <w:rPr>
                <w:rFonts w:eastAsia="SimSun"/>
              </w:rPr>
              <w:t>/</w:t>
            </w:r>
            <w:r w:rsidRPr="002F2E27">
              <w:rPr>
                <w:rFonts w:eastAsia="SimSun"/>
              </w:rPr>
              <w:t>机构，它们有不同的称谓：自治市、郡或省；以及</w:t>
            </w:r>
            <w:r w:rsidRPr="002F2E27">
              <w:rPr>
                <w:rFonts w:eastAsia="SimSun"/>
              </w:rPr>
              <w:t xml:space="preserve"> (2) </w:t>
            </w:r>
            <w:r w:rsidRPr="002F2E27">
              <w:rPr>
                <w:rFonts w:eastAsia="SimSun"/>
              </w:rPr>
              <w:t>所有有权在相应自治市、郡或省内执行、设立或决定法规的政府部门、议会、调控和司法机构。</w:t>
            </w:r>
          </w:p>
        </w:tc>
      </w:tr>
      <w:tr w:rsidR="002F2E27" w:rsidRPr="002F2E27" w:rsidTr="001260E4">
        <w:trPr>
          <w:cantSplit/>
          <w:tblHeader/>
          <w:jc w:val="center"/>
        </w:trPr>
        <w:tc>
          <w:tcPr>
            <w:tcW w:w="2553" w:type="dxa"/>
            <w:vAlign w:val="center"/>
          </w:tcPr>
          <w:p w:rsidR="002F2E27" w:rsidRPr="002F2E27" w:rsidRDefault="002F2E27" w:rsidP="00DD317E">
            <w:pPr>
              <w:spacing w:after="120"/>
              <w:jc w:val="left"/>
              <w:rPr>
                <w:rFonts w:eastAsia="SimSun"/>
                <w:b/>
                <w:bCs/>
              </w:rPr>
            </w:pPr>
            <w:r w:rsidRPr="002F2E27">
              <w:rPr>
                <w:rFonts w:eastAsia="SimSun"/>
                <w:b/>
                <w:bCs/>
              </w:rPr>
              <w:t xml:space="preserve">D. </w:t>
            </w:r>
            <w:r w:rsidRPr="002F2E27">
              <w:rPr>
                <w:rFonts w:eastAsia="SimSun"/>
                <w:b/>
                <w:bCs/>
              </w:rPr>
              <w:t>地方</w:t>
            </w:r>
            <w:r w:rsidRPr="002F2E27">
              <w:rPr>
                <w:rFonts w:eastAsia="SimSun"/>
                <w:b/>
                <w:bCs/>
              </w:rPr>
              <w:t>/</w:t>
            </w:r>
            <w:r w:rsidRPr="002F2E27">
              <w:rPr>
                <w:rFonts w:eastAsia="SimSun"/>
                <w:b/>
                <w:bCs/>
              </w:rPr>
              <w:t>市立类</w:t>
            </w:r>
          </w:p>
        </w:tc>
        <w:tc>
          <w:tcPr>
            <w:tcW w:w="6476" w:type="dxa"/>
            <w:vAlign w:val="center"/>
          </w:tcPr>
          <w:p w:rsidR="002F2E27" w:rsidRPr="002F2E27" w:rsidRDefault="002F2E27" w:rsidP="00DD317E">
            <w:pPr>
              <w:spacing w:after="120"/>
              <w:rPr>
                <w:rFonts w:eastAsia="SimSun"/>
              </w:rPr>
            </w:pPr>
            <w:r w:rsidRPr="002F2E27">
              <w:rPr>
                <w:rFonts w:eastAsia="SimSun"/>
              </w:rPr>
              <w:t>最低级别的政府和相关管理机构。这包括所有依据适用的法律选举或设立的，在县、城镇和社区一级管理的政府和相关管理机构。</w:t>
            </w:r>
          </w:p>
        </w:tc>
      </w:tr>
      <w:tr w:rsidR="002F2E27" w:rsidRPr="002F2E27" w:rsidTr="001260E4">
        <w:trPr>
          <w:cantSplit/>
          <w:tblHeader/>
          <w:jc w:val="center"/>
        </w:trPr>
        <w:tc>
          <w:tcPr>
            <w:tcW w:w="2553" w:type="dxa"/>
            <w:vAlign w:val="center"/>
          </w:tcPr>
          <w:p w:rsidR="002F2E27" w:rsidRPr="002F2E27" w:rsidRDefault="002F2E27" w:rsidP="00DD317E">
            <w:pPr>
              <w:spacing w:after="120"/>
              <w:jc w:val="left"/>
              <w:rPr>
                <w:rFonts w:eastAsia="SimSun"/>
                <w:b/>
                <w:bCs/>
              </w:rPr>
            </w:pPr>
            <w:r w:rsidRPr="002F2E27">
              <w:rPr>
                <w:rFonts w:eastAsia="SimSun"/>
                <w:b/>
                <w:bCs/>
              </w:rPr>
              <w:t xml:space="preserve">E. </w:t>
            </w:r>
            <w:r w:rsidRPr="002F2E27">
              <w:rPr>
                <w:rFonts w:eastAsia="SimSun"/>
                <w:b/>
                <w:bCs/>
              </w:rPr>
              <w:t>医疗保健类</w:t>
            </w:r>
          </w:p>
        </w:tc>
        <w:tc>
          <w:tcPr>
            <w:tcW w:w="6476" w:type="dxa"/>
            <w:vAlign w:val="center"/>
          </w:tcPr>
          <w:p w:rsidR="002F2E27" w:rsidRPr="001260E4" w:rsidRDefault="002F2E27" w:rsidP="001260E4">
            <w:pPr>
              <w:spacing w:after="120"/>
              <w:ind w:right="131"/>
              <w:rPr>
                <w:rFonts w:eastAsia="SimSun"/>
              </w:rPr>
            </w:pPr>
            <w:r w:rsidRPr="001260E4">
              <w:rPr>
                <w:rFonts w:eastAsia="SimSun"/>
              </w:rPr>
              <w:t>任何提供医疗保健服务及保险、设立或决定整个国家医疗保健政策、为医疗保健服务和保险提供资助或在这方面发挥调控职能的政府性组织</w:t>
            </w:r>
            <w:r w:rsidRPr="001260E4">
              <w:rPr>
                <w:rFonts w:eastAsia="SimSun"/>
              </w:rPr>
              <w:t>/</w:t>
            </w:r>
            <w:r w:rsidRPr="001260E4">
              <w:rPr>
                <w:rFonts w:eastAsia="SimSun"/>
              </w:rPr>
              <w:t>机构。</w:t>
            </w:r>
          </w:p>
        </w:tc>
      </w:tr>
      <w:tr w:rsidR="002F2E27" w:rsidRPr="002F2E27" w:rsidTr="001260E4">
        <w:trPr>
          <w:cantSplit/>
          <w:tblHeader/>
          <w:jc w:val="center"/>
        </w:trPr>
        <w:tc>
          <w:tcPr>
            <w:tcW w:w="2553" w:type="dxa"/>
            <w:vAlign w:val="center"/>
          </w:tcPr>
          <w:p w:rsidR="002F2E27" w:rsidRPr="002F2E27" w:rsidRDefault="002F2E27" w:rsidP="00DD317E">
            <w:pPr>
              <w:spacing w:after="120"/>
              <w:jc w:val="left"/>
              <w:rPr>
                <w:rFonts w:eastAsia="SimSun"/>
                <w:b/>
                <w:bCs/>
              </w:rPr>
            </w:pPr>
            <w:r w:rsidRPr="002F2E27">
              <w:rPr>
                <w:rFonts w:eastAsia="SimSun"/>
                <w:b/>
                <w:bCs/>
              </w:rPr>
              <w:t xml:space="preserve">F. </w:t>
            </w:r>
            <w:r w:rsidRPr="002F2E27">
              <w:rPr>
                <w:rFonts w:eastAsia="SimSun"/>
                <w:b/>
                <w:bCs/>
              </w:rPr>
              <w:t>政府机构</w:t>
            </w:r>
          </w:p>
        </w:tc>
        <w:tc>
          <w:tcPr>
            <w:tcW w:w="6476" w:type="dxa"/>
            <w:vAlign w:val="center"/>
          </w:tcPr>
          <w:p w:rsidR="002F2E27" w:rsidRPr="002F2E27" w:rsidRDefault="002F2E27" w:rsidP="00DD317E">
            <w:pPr>
              <w:spacing w:after="120"/>
              <w:rPr>
                <w:rFonts w:eastAsia="SimSun"/>
              </w:rPr>
            </w:pPr>
            <w:r w:rsidRPr="002F2E27">
              <w:rPr>
                <w:rFonts w:eastAsia="SimSun"/>
              </w:rPr>
              <w:t>任何对某个受国际承认的国家政府单方面负责且最终受其控制的机构。</w:t>
            </w:r>
          </w:p>
          <w:p w:rsidR="002F2E27" w:rsidRPr="002F2E27" w:rsidRDefault="002F2E27" w:rsidP="00DD317E">
            <w:pPr>
              <w:spacing w:after="120"/>
              <w:rPr>
                <w:rFonts w:eastAsia="SimSun"/>
              </w:rPr>
            </w:pPr>
            <w:r w:rsidRPr="002F2E27">
              <w:rPr>
                <w:rFonts w:eastAsia="SimSun"/>
              </w:rPr>
              <w:t>任何通过法律设立的、行使相关赋权法例、该机构章程或目标条款所述之公共职能的机构（如法定委员会和政府研究机构）。</w:t>
            </w:r>
          </w:p>
        </w:tc>
      </w:tr>
      <w:tr w:rsidR="002F2E27" w:rsidRPr="002F2E27" w:rsidTr="001260E4">
        <w:trPr>
          <w:cantSplit/>
          <w:tblHeader/>
          <w:jc w:val="center"/>
        </w:trPr>
        <w:tc>
          <w:tcPr>
            <w:tcW w:w="2553" w:type="dxa"/>
            <w:vAlign w:val="center"/>
          </w:tcPr>
          <w:p w:rsidR="002F2E27" w:rsidRPr="002F2E27" w:rsidRDefault="002F2E27" w:rsidP="00DD317E">
            <w:pPr>
              <w:spacing w:after="120"/>
              <w:jc w:val="left"/>
              <w:rPr>
                <w:rFonts w:eastAsia="SimSun"/>
                <w:b/>
                <w:bCs/>
              </w:rPr>
            </w:pPr>
            <w:r w:rsidRPr="002F2E27">
              <w:rPr>
                <w:rFonts w:eastAsia="SimSun"/>
                <w:b/>
              </w:rPr>
              <w:t xml:space="preserve">G. </w:t>
            </w:r>
            <w:r w:rsidRPr="002F2E27">
              <w:rPr>
                <w:rFonts w:eastAsia="SimSun"/>
                <w:b/>
              </w:rPr>
              <w:t>政府商业企业</w:t>
            </w:r>
            <w:r w:rsidRPr="002F2E27">
              <w:rPr>
                <w:rFonts w:eastAsia="SimSun"/>
                <w:b/>
              </w:rPr>
              <w:t>/</w:t>
            </w:r>
            <w:r w:rsidRPr="002F2E27">
              <w:rPr>
                <w:rFonts w:eastAsia="SimSun"/>
                <w:b/>
              </w:rPr>
              <w:t>国有企业</w:t>
            </w:r>
          </w:p>
        </w:tc>
        <w:tc>
          <w:tcPr>
            <w:tcW w:w="6476" w:type="dxa"/>
            <w:vAlign w:val="center"/>
          </w:tcPr>
          <w:p w:rsidR="002F2E27" w:rsidRPr="002F2E27" w:rsidRDefault="002F2E27" w:rsidP="00DD317E">
            <w:pPr>
              <w:spacing w:after="120"/>
              <w:rPr>
                <w:rFonts w:eastAsia="SimSun"/>
              </w:rPr>
            </w:pPr>
            <w:r w:rsidRPr="002F2E27">
              <w:rPr>
                <w:rFonts w:eastAsia="SimSun"/>
              </w:rPr>
              <w:t>由任何政府实体拥有和</w:t>
            </w:r>
            <w:r w:rsidRPr="002F2E27">
              <w:rPr>
                <w:rFonts w:eastAsia="SimSun"/>
              </w:rPr>
              <w:t>/</w:t>
            </w:r>
            <w:r w:rsidRPr="002F2E27">
              <w:rPr>
                <w:rFonts w:eastAsia="SimSun"/>
              </w:rPr>
              <w:t>或管理的、作为企业运营或以创造收入</w:t>
            </w:r>
            <w:r w:rsidRPr="002F2E27">
              <w:rPr>
                <w:rFonts w:eastAsia="SimSun"/>
              </w:rPr>
              <w:t>/</w:t>
            </w:r>
            <w:r w:rsidRPr="002F2E27">
              <w:rPr>
                <w:rFonts w:eastAsia="SimSun"/>
              </w:rPr>
              <w:t>利润为目的的任何政府商业企业或国有企业均不具备合格实体的资格。为了避免混淆，由公共部门实体指定、指导或通过其他方式委托其负责采购或因承担采购工作而从任何公共部门实体获取补助的企业不具备合格实体的资格。</w:t>
            </w:r>
          </w:p>
        </w:tc>
      </w:tr>
    </w:tbl>
    <w:p w:rsidR="002F2E27" w:rsidRPr="002F2E27" w:rsidRDefault="002F2E27" w:rsidP="001260E4">
      <w:pPr>
        <w:ind w:right="96"/>
        <w:rPr>
          <w:rFonts w:eastAsia="SimSun"/>
        </w:rPr>
      </w:pPr>
      <w:r w:rsidRPr="002F2E27">
        <w:rPr>
          <w:rFonts w:eastAsia="SimSun"/>
        </w:rPr>
        <w:t>此外，如果某机构属于上述类别之一但是是营利性机构，则应采用以下附加条件来确定该机构是否为合格实体：</w:t>
      </w:r>
    </w:p>
    <w:p w:rsidR="002F2E27" w:rsidRPr="002F2E27" w:rsidRDefault="002F2E27" w:rsidP="002F2E27">
      <w:pPr>
        <w:pStyle w:val="ListParagraph"/>
        <w:numPr>
          <w:ilvl w:val="0"/>
          <w:numId w:val="1"/>
        </w:numPr>
        <w:ind w:left="1080"/>
        <w:contextualSpacing w:val="0"/>
        <w:rPr>
          <w:rFonts w:eastAsia="SimSun"/>
        </w:rPr>
      </w:pPr>
      <w:r w:rsidRPr="002F2E27">
        <w:rPr>
          <w:rFonts w:eastAsia="SimSun"/>
        </w:rPr>
        <w:t>该机构的收入是否仅属于政府（是否还会分配给私人股东）？</w:t>
      </w:r>
    </w:p>
    <w:p w:rsidR="002F2E27" w:rsidRPr="002F2E27" w:rsidRDefault="002F2E27" w:rsidP="002F2E27">
      <w:pPr>
        <w:pStyle w:val="ListParagraph"/>
        <w:numPr>
          <w:ilvl w:val="0"/>
          <w:numId w:val="1"/>
        </w:numPr>
        <w:ind w:left="1080"/>
        <w:contextualSpacing w:val="0"/>
        <w:rPr>
          <w:rFonts w:eastAsia="SimSun"/>
        </w:rPr>
      </w:pPr>
      <w:r w:rsidRPr="002F2E27">
        <w:rPr>
          <w:rFonts w:eastAsia="SimSun"/>
        </w:rPr>
        <w:t>该机构是否免交公司税？</w:t>
      </w:r>
    </w:p>
    <w:p w:rsidR="002F2E27" w:rsidRPr="002F2E27" w:rsidRDefault="002F2E27" w:rsidP="001260E4">
      <w:pPr>
        <w:pStyle w:val="ListParagraph"/>
        <w:numPr>
          <w:ilvl w:val="0"/>
          <w:numId w:val="1"/>
        </w:numPr>
        <w:tabs>
          <w:tab w:val="left" w:pos="8222"/>
        </w:tabs>
        <w:ind w:left="1080" w:right="663"/>
        <w:contextualSpacing w:val="0"/>
        <w:rPr>
          <w:rFonts w:eastAsia="SimSun"/>
        </w:rPr>
      </w:pPr>
      <w:r w:rsidRPr="002F2E27">
        <w:rPr>
          <w:rFonts w:eastAsia="SimSun"/>
        </w:rPr>
        <w:t>该机构是否由政府出资</w:t>
      </w:r>
      <w:r w:rsidRPr="002F2E27">
        <w:rPr>
          <w:rFonts w:eastAsia="SimSun"/>
        </w:rPr>
        <w:t xml:space="preserve"> 50% </w:t>
      </w:r>
      <w:r w:rsidRPr="002F2E27">
        <w:rPr>
          <w:rFonts w:eastAsia="SimSun"/>
        </w:rPr>
        <w:t>以上（也就是说该机构通过商业活动获得的资金是否不足</w:t>
      </w:r>
      <w:r w:rsidRPr="002F2E27">
        <w:rPr>
          <w:rFonts w:eastAsia="SimSun"/>
        </w:rPr>
        <w:t xml:space="preserve"> 50%</w:t>
      </w:r>
      <w:r w:rsidRPr="002F2E27">
        <w:rPr>
          <w:rFonts w:eastAsia="SimSun"/>
        </w:rPr>
        <w:t>）？</w:t>
      </w:r>
    </w:p>
    <w:p w:rsidR="002F2E27" w:rsidRPr="002F2E27" w:rsidRDefault="002F2E27" w:rsidP="002F2E27">
      <w:pPr>
        <w:rPr>
          <w:rFonts w:eastAsia="SimSun"/>
        </w:rPr>
      </w:pPr>
      <w:r w:rsidRPr="002F2E27">
        <w:rPr>
          <w:rFonts w:eastAsia="SimSun"/>
        </w:rPr>
        <w:t>如果该机构对上述三个问题的答案都是</w:t>
      </w:r>
      <w:r w:rsidR="00861F6B">
        <w:rPr>
          <w:rFonts w:eastAsia="SimSun"/>
          <w:lang w:val="en-US"/>
        </w:rPr>
        <w:t> </w:t>
      </w:r>
      <w:r w:rsidRPr="002F2E27">
        <w:rPr>
          <w:rFonts w:eastAsia="SimSun"/>
        </w:rPr>
        <w:t>“</w:t>
      </w:r>
      <w:r w:rsidRPr="002F2E27">
        <w:rPr>
          <w:rFonts w:eastAsia="SimSun"/>
        </w:rPr>
        <w:t>是</w:t>
      </w:r>
      <w:r w:rsidRPr="002F2E27">
        <w:rPr>
          <w:rFonts w:eastAsia="SimSun"/>
        </w:rPr>
        <w:t>”</w:t>
      </w:r>
      <w:r w:rsidRPr="002F2E27">
        <w:rPr>
          <w:rFonts w:eastAsia="SimSun"/>
        </w:rPr>
        <w:t>，则表示该机构可以成为合格实体。如果该机构对上述任何一个问题的回答为</w:t>
      </w:r>
      <w:r w:rsidR="00861F6B">
        <w:rPr>
          <w:rFonts w:eastAsia="SimSun"/>
          <w:lang w:val="en-US"/>
        </w:rPr>
        <w:t> </w:t>
      </w:r>
      <w:r w:rsidRPr="002F2E27">
        <w:rPr>
          <w:rFonts w:eastAsia="SimSun"/>
        </w:rPr>
        <w:t>“</w:t>
      </w:r>
      <w:r w:rsidRPr="002F2E27">
        <w:rPr>
          <w:rFonts w:eastAsia="SimSun"/>
        </w:rPr>
        <w:t>否</w:t>
      </w:r>
      <w:r w:rsidRPr="002F2E27">
        <w:rPr>
          <w:rFonts w:eastAsia="SimSun"/>
        </w:rPr>
        <w:t>”</w:t>
      </w:r>
      <w:r w:rsidRPr="002F2E27">
        <w:rPr>
          <w:rFonts w:eastAsia="SimSun"/>
        </w:rPr>
        <w:t>，则表示该机构不能成为合格实体。</w:t>
      </w:r>
    </w:p>
    <w:p w:rsidR="002F2E27" w:rsidRPr="001260E4" w:rsidRDefault="002F2E27" w:rsidP="002F2E27">
      <w:pPr>
        <w:rPr>
          <w:rFonts w:eastAsia="SimSun"/>
          <w:spacing w:val="-2"/>
        </w:rPr>
      </w:pPr>
      <w:r w:rsidRPr="001260E4">
        <w:rPr>
          <w:rFonts w:eastAsia="SimSun"/>
          <w:spacing w:val="-2"/>
        </w:rPr>
        <w:t>如果某个国家</w:t>
      </w:r>
      <w:r w:rsidRPr="001260E4">
        <w:rPr>
          <w:rFonts w:eastAsia="SimSun"/>
          <w:spacing w:val="-2"/>
        </w:rPr>
        <w:t>/</w:t>
      </w:r>
      <w:r w:rsidRPr="001260E4">
        <w:rPr>
          <w:rFonts w:eastAsia="SimSun"/>
          <w:spacing w:val="-2"/>
        </w:rPr>
        <w:t>地区的政府发布了公共部门机构的列表，这些机构须符合定义的条件方能成为合格实体。</w:t>
      </w:r>
    </w:p>
    <w:p w:rsidR="002F2E27" w:rsidRPr="002F2E27" w:rsidRDefault="002F2E27" w:rsidP="002F2E27">
      <w:pPr>
        <w:rPr>
          <w:rFonts w:eastAsia="SimSun"/>
        </w:rPr>
      </w:pPr>
      <w:r w:rsidRPr="002F2E27">
        <w:rPr>
          <w:rFonts w:eastAsia="SimSun"/>
        </w:rPr>
        <w:t>如果在签署许可协议之后，组织不再属于合格的政府实体，则该组织可以继续使用该组织已获得许可的副本，但该组织不得依照微软政府许可计划提交任何新的许可订单。</w:t>
      </w:r>
    </w:p>
    <w:p w:rsidR="002F2E27" w:rsidRPr="002F2E27" w:rsidRDefault="002F2E27" w:rsidP="002F2E27">
      <w:pPr>
        <w:rPr>
          <w:rFonts w:eastAsia="SimSun"/>
        </w:rPr>
      </w:pPr>
      <w:bookmarkStart w:id="1" w:name="OLE_LINK1"/>
      <w:bookmarkStart w:id="2" w:name="OLE_LINK2"/>
      <w:r w:rsidRPr="002F2E27">
        <w:rPr>
          <w:rFonts w:eastAsia="SimSun"/>
        </w:rPr>
        <w:t>微软向合格的公共部门机构（符合上述定义和描述）提供政府定价。依照可能在特定批量许可协议中规定的此类额外的资格要求，合格机构有资格获得：</w:t>
      </w:r>
      <w:r w:rsidRPr="002F2E27">
        <w:rPr>
          <w:rFonts w:eastAsia="SimSun"/>
        </w:rPr>
        <w:t xml:space="preserve">(1) </w:t>
      </w:r>
      <w:r w:rsidRPr="002F2E27">
        <w:rPr>
          <w:rFonts w:eastAsia="SimSun"/>
        </w:rPr>
        <w:t>企业计划、企业订购计划、选择计划或选择附加批量许可计划中定义的价格水平</w:t>
      </w:r>
      <w:r w:rsidRPr="002F2E27">
        <w:rPr>
          <w:rFonts w:eastAsia="SimSun"/>
        </w:rPr>
        <w:t xml:space="preserve"> D</w:t>
      </w:r>
      <w:r w:rsidRPr="002F2E27">
        <w:rPr>
          <w:rFonts w:eastAsia="SimSun"/>
        </w:rPr>
        <w:t>，或</w:t>
      </w:r>
      <w:r w:rsidRPr="002F2E27">
        <w:rPr>
          <w:rFonts w:eastAsia="SimSun"/>
        </w:rPr>
        <w:t xml:space="preserve"> (2) </w:t>
      </w:r>
      <w:r w:rsidRPr="002F2E27">
        <w:rPr>
          <w:rFonts w:eastAsia="SimSun"/>
        </w:rPr>
        <w:t>根据其他微软批量许可计划赋予合格机构的其他折扣。</w:t>
      </w:r>
      <w:bookmarkEnd w:id="1"/>
      <w:bookmarkEnd w:id="2"/>
    </w:p>
    <w:sectPr w:rsidR="002F2E27" w:rsidRPr="002F2E27"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E78" w:rsidRDefault="00A57E78" w:rsidP="00ED426A">
      <w:pPr>
        <w:spacing w:before="0"/>
      </w:pPr>
      <w:r>
        <w:separator/>
      </w:r>
    </w:p>
  </w:endnote>
  <w:endnote w:type="continuationSeparator" w:id="0">
    <w:p w:rsidR="00A57E78" w:rsidRDefault="00A57E78" w:rsidP="00ED42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CD" w:rsidRDefault="00F62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460"/>
    </w:tblGrid>
    <w:tr w:rsidR="00F620CD" w:rsidRPr="00F620CD" w:rsidTr="007504E3">
      <w:trPr>
        <w:jc w:val="center"/>
      </w:trPr>
      <w:tc>
        <w:tcPr>
          <w:tcW w:w="4621" w:type="dxa"/>
          <w:shd w:val="clear" w:color="auto" w:fill="auto"/>
        </w:tcPr>
        <w:p w:rsidR="00F620CD" w:rsidRPr="00F620CD" w:rsidRDefault="00F620CD" w:rsidP="00F620CD">
          <w:pPr>
            <w:pStyle w:val="Footer"/>
            <w:rPr>
              <w:rStyle w:val="LogoportDoNotTranslate"/>
              <w:rFonts w:ascii="Arial" w:hAnsi="Arial" w:cs="Arial"/>
              <w:color w:val="auto"/>
              <w:sz w:val="16"/>
              <w:szCs w:val="16"/>
            </w:rPr>
          </w:pPr>
          <w:r w:rsidRPr="00F620CD">
            <w:rPr>
              <w:rStyle w:val="LogoportDoNotTranslate"/>
              <w:rFonts w:ascii="Arial" w:hAnsi="Arial" w:cs="Arial"/>
              <w:color w:val="auto"/>
              <w:sz w:val="16"/>
              <w:szCs w:val="16"/>
            </w:rPr>
            <w:t>GovEligibilityDef(Asia)PRC(</w:t>
          </w:r>
          <w:r w:rsidRPr="00F620CD">
            <w:rPr>
              <w:rStyle w:val="LogoportDoNotTranslate"/>
              <w:rFonts w:ascii="Arial" w:hAnsi="Arial" w:cs="Arial"/>
              <w:color w:val="auto"/>
              <w:sz w:val="16"/>
              <w:szCs w:val="16"/>
              <w:lang w:val="en-US"/>
            </w:rPr>
            <w:t>CHS</w:t>
          </w:r>
          <w:r w:rsidRPr="00F620CD">
            <w:rPr>
              <w:rStyle w:val="LogoportDoNotTranslate"/>
              <w:rFonts w:ascii="Arial" w:hAnsi="Arial" w:cs="Arial"/>
              <w:color w:val="auto"/>
              <w:sz w:val="16"/>
              <w:szCs w:val="16"/>
            </w:rPr>
            <w:t>)(Nov2014)</w:t>
          </w:r>
        </w:p>
      </w:tc>
      <w:tc>
        <w:tcPr>
          <w:tcW w:w="4622" w:type="dxa"/>
          <w:shd w:val="clear" w:color="auto" w:fill="auto"/>
        </w:tcPr>
        <w:p w:rsidR="00F620CD" w:rsidRPr="00F620CD" w:rsidRDefault="00F620CD" w:rsidP="00F620CD">
          <w:pPr>
            <w:pStyle w:val="Footer"/>
            <w:jc w:val="right"/>
            <w:rPr>
              <w:rStyle w:val="LogoportDoNotTranslate"/>
              <w:rFonts w:ascii="Arial" w:hAnsi="Arial" w:cs="Arial"/>
              <w:color w:val="auto"/>
              <w:sz w:val="16"/>
              <w:szCs w:val="16"/>
            </w:rPr>
          </w:pPr>
          <w:r w:rsidRPr="00F620CD">
            <w:rPr>
              <w:rStyle w:val="LogoportDoNotTranslate"/>
              <w:rFonts w:ascii="Arial" w:hAnsi="Arial" w:cs="Arial"/>
              <w:color w:val="auto"/>
              <w:sz w:val="16"/>
              <w:szCs w:val="16"/>
            </w:rPr>
            <w:t xml:space="preserve">Page </w:t>
          </w:r>
          <w:r w:rsidRPr="00F620CD">
            <w:rPr>
              <w:rStyle w:val="LogoportDoNotTranslate"/>
              <w:rFonts w:ascii="Arial" w:hAnsi="Arial" w:cs="Arial"/>
              <w:color w:val="auto"/>
              <w:sz w:val="16"/>
              <w:szCs w:val="16"/>
            </w:rPr>
            <w:fldChar w:fldCharType="begin"/>
          </w:r>
          <w:r w:rsidRPr="00F620CD">
            <w:rPr>
              <w:rStyle w:val="LogoportDoNotTranslate"/>
              <w:rFonts w:ascii="Arial" w:hAnsi="Arial" w:cs="Arial"/>
              <w:color w:val="auto"/>
              <w:sz w:val="16"/>
              <w:szCs w:val="16"/>
            </w:rPr>
            <w:instrText xml:space="preserve"> PAGE  \* MERGEFORMAT </w:instrText>
          </w:r>
          <w:r w:rsidRPr="00F620CD">
            <w:rPr>
              <w:rStyle w:val="LogoportDoNotTranslate"/>
              <w:rFonts w:ascii="Arial" w:hAnsi="Arial" w:cs="Arial"/>
              <w:color w:val="auto"/>
              <w:sz w:val="16"/>
              <w:szCs w:val="16"/>
            </w:rPr>
            <w:fldChar w:fldCharType="separate"/>
          </w:r>
          <w:r>
            <w:rPr>
              <w:rStyle w:val="LogoportDoNotTranslate"/>
              <w:rFonts w:ascii="Arial" w:hAnsi="Arial" w:cs="Arial"/>
              <w:noProof/>
              <w:color w:val="auto"/>
              <w:sz w:val="16"/>
              <w:szCs w:val="16"/>
            </w:rPr>
            <w:t>1</w:t>
          </w:r>
          <w:r w:rsidRPr="00F620CD">
            <w:rPr>
              <w:rStyle w:val="LogoportDoNotTranslate"/>
              <w:rFonts w:ascii="Arial" w:hAnsi="Arial" w:cs="Arial"/>
              <w:color w:val="auto"/>
              <w:sz w:val="16"/>
              <w:szCs w:val="16"/>
            </w:rPr>
            <w:fldChar w:fldCharType="end"/>
          </w:r>
          <w:r w:rsidRPr="00F620CD">
            <w:rPr>
              <w:rStyle w:val="LogoportDoNotTranslate"/>
              <w:rFonts w:ascii="Arial" w:hAnsi="Arial" w:cs="Arial"/>
              <w:color w:val="auto"/>
              <w:sz w:val="16"/>
              <w:szCs w:val="16"/>
            </w:rPr>
            <w:t xml:space="preserve"> of </w:t>
          </w:r>
          <w:r w:rsidRPr="00F620CD">
            <w:rPr>
              <w:rStyle w:val="LogoportDoNotTranslate"/>
              <w:rFonts w:ascii="Arial" w:hAnsi="Arial" w:cs="Arial"/>
              <w:color w:val="auto"/>
              <w:sz w:val="16"/>
              <w:szCs w:val="16"/>
            </w:rPr>
            <w:fldChar w:fldCharType="begin"/>
          </w:r>
          <w:r w:rsidRPr="00F620CD">
            <w:rPr>
              <w:rStyle w:val="LogoportDoNotTranslate"/>
              <w:rFonts w:ascii="Arial" w:hAnsi="Arial" w:cs="Arial"/>
              <w:color w:val="auto"/>
              <w:sz w:val="16"/>
              <w:szCs w:val="16"/>
            </w:rPr>
            <w:instrText xml:space="preserve"> NUMPAGES  \* MERGEFORMAT </w:instrText>
          </w:r>
          <w:r w:rsidRPr="00F620CD">
            <w:rPr>
              <w:rStyle w:val="LogoportDoNotTranslate"/>
              <w:rFonts w:ascii="Arial" w:hAnsi="Arial" w:cs="Arial"/>
              <w:color w:val="auto"/>
              <w:sz w:val="16"/>
              <w:szCs w:val="16"/>
            </w:rPr>
            <w:fldChar w:fldCharType="separate"/>
          </w:r>
          <w:r>
            <w:rPr>
              <w:rStyle w:val="LogoportDoNotTranslate"/>
              <w:rFonts w:ascii="Arial" w:hAnsi="Arial" w:cs="Arial"/>
              <w:noProof/>
              <w:color w:val="auto"/>
              <w:sz w:val="16"/>
              <w:szCs w:val="16"/>
            </w:rPr>
            <w:t>1</w:t>
          </w:r>
          <w:r w:rsidRPr="00F620CD">
            <w:rPr>
              <w:rStyle w:val="LogoportDoNotTranslate"/>
              <w:rFonts w:ascii="Arial" w:hAnsi="Arial" w:cs="Arial"/>
              <w:color w:val="auto"/>
              <w:sz w:val="16"/>
              <w:szCs w:val="16"/>
            </w:rPr>
            <w:fldChar w:fldCharType="end"/>
          </w:r>
        </w:p>
        <w:p w:rsidR="00F620CD" w:rsidRPr="00F620CD" w:rsidRDefault="00F620CD" w:rsidP="00F620CD">
          <w:pPr>
            <w:pStyle w:val="Footer"/>
            <w:jc w:val="right"/>
            <w:rPr>
              <w:rStyle w:val="LogoportDoNotTranslate"/>
              <w:rFonts w:ascii="Arial" w:hAnsi="Arial" w:cs="Arial"/>
              <w:color w:val="auto"/>
              <w:sz w:val="16"/>
              <w:szCs w:val="16"/>
            </w:rPr>
          </w:pPr>
        </w:p>
      </w:tc>
    </w:tr>
  </w:tbl>
  <w:p w:rsidR="00F620CD" w:rsidRPr="00F620CD" w:rsidRDefault="00F620CD" w:rsidP="00F620CD">
    <w:pPr>
      <w:pStyle w:val="Footer"/>
      <w:rPr>
        <w:rStyle w:val="LogoportDoNotTranslate"/>
        <w:rFonts w:ascii="Arial" w:hAnsi="Arial" w:cs="Arial"/>
        <w:color w:val="auto"/>
        <w:sz w:val="16"/>
        <w:szCs w:val="20"/>
      </w:rPr>
    </w:pPr>
  </w:p>
  <w:p w:rsidR="0006204C" w:rsidRPr="00F620CD" w:rsidRDefault="0093455B" w:rsidP="00F620CD">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460"/>
    </w:tblGrid>
    <w:tr w:rsidR="00F620CD" w:rsidRPr="00F620CD" w:rsidTr="00F620CD">
      <w:trPr>
        <w:jc w:val="center"/>
      </w:trPr>
      <w:tc>
        <w:tcPr>
          <w:tcW w:w="4621" w:type="dxa"/>
          <w:shd w:val="clear" w:color="auto" w:fill="auto"/>
        </w:tcPr>
        <w:p w:rsidR="00F620CD" w:rsidRPr="00F620CD" w:rsidRDefault="00F620CD" w:rsidP="00F620CD">
          <w:pPr>
            <w:pStyle w:val="Footer"/>
            <w:rPr>
              <w:rStyle w:val="LogoportDoNotTranslate"/>
              <w:rFonts w:ascii="Arial" w:hAnsi="Arial" w:cs="Arial"/>
              <w:color w:val="auto"/>
              <w:sz w:val="16"/>
              <w:szCs w:val="16"/>
            </w:rPr>
          </w:pPr>
          <w:r w:rsidRPr="00F620CD">
            <w:rPr>
              <w:rStyle w:val="LogoportDoNotTranslate"/>
              <w:rFonts w:ascii="Arial" w:hAnsi="Arial" w:cs="Arial"/>
              <w:color w:val="auto"/>
              <w:sz w:val="16"/>
              <w:szCs w:val="16"/>
            </w:rPr>
            <w:t>GovEligibilityDef(Asia)PRC(</w:t>
          </w:r>
          <w:r w:rsidRPr="00F620CD">
            <w:rPr>
              <w:rStyle w:val="LogoportDoNotTranslate"/>
              <w:rFonts w:ascii="Arial" w:hAnsi="Arial" w:cs="Arial"/>
              <w:color w:val="auto"/>
              <w:sz w:val="16"/>
              <w:szCs w:val="16"/>
              <w:lang w:val="en-US"/>
            </w:rPr>
            <w:t>CHS</w:t>
          </w:r>
          <w:r w:rsidRPr="00F620CD">
            <w:rPr>
              <w:rStyle w:val="LogoportDoNotTranslate"/>
              <w:rFonts w:ascii="Arial" w:hAnsi="Arial" w:cs="Arial"/>
              <w:color w:val="auto"/>
              <w:sz w:val="16"/>
              <w:szCs w:val="16"/>
            </w:rPr>
            <w:t>)(Nov2014)</w:t>
          </w:r>
        </w:p>
      </w:tc>
      <w:tc>
        <w:tcPr>
          <w:tcW w:w="4622" w:type="dxa"/>
          <w:shd w:val="clear" w:color="auto" w:fill="auto"/>
        </w:tcPr>
        <w:p w:rsidR="00F620CD" w:rsidRPr="00F620CD" w:rsidRDefault="00F620CD" w:rsidP="00F620CD">
          <w:pPr>
            <w:pStyle w:val="Footer"/>
            <w:jc w:val="right"/>
            <w:rPr>
              <w:rStyle w:val="LogoportDoNotTranslate"/>
              <w:rFonts w:ascii="Arial" w:hAnsi="Arial" w:cs="Arial"/>
              <w:color w:val="auto"/>
              <w:sz w:val="16"/>
              <w:szCs w:val="16"/>
            </w:rPr>
          </w:pPr>
          <w:r w:rsidRPr="00F620CD">
            <w:rPr>
              <w:rStyle w:val="LogoportDoNotTranslate"/>
              <w:rFonts w:ascii="Arial" w:hAnsi="Arial" w:cs="Arial"/>
              <w:color w:val="auto"/>
              <w:sz w:val="16"/>
              <w:szCs w:val="16"/>
            </w:rPr>
            <w:t xml:space="preserve">Page </w:t>
          </w:r>
          <w:r w:rsidRPr="00F620CD">
            <w:rPr>
              <w:rStyle w:val="LogoportDoNotTranslate"/>
              <w:rFonts w:ascii="Arial" w:hAnsi="Arial" w:cs="Arial"/>
              <w:color w:val="auto"/>
              <w:sz w:val="16"/>
              <w:szCs w:val="16"/>
            </w:rPr>
            <w:fldChar w:fldCharType="begin"/>
          </w:r>
          <w:r w:rsidRPr="00F620CD">
            <w:rPr>
              <w:rStyle w:val="LogoportDoNotTranslate"/>
              <w:rFonts w:ascii="Arial" w:hAnsi="Arial" w:cs="Arial"/>
              <w:color w:val="auto"/>
              <w:sz w:val="16"/>
              <w:szCs w:val="16"/>
            </w:rPr>
            <w:instrText xml:space="preserve"> PAGE  \* MERGEFORMAT </w:instrText>
          </w:r>
          <w:r w:rsidRPr="00F620CD">
            <w:rPr>
              <w:rStyle w:val="LogoportDoNotTranslate"/>
              <w:rFonts w:ascii="Arial" w:hAnsi="Arial" w:cs="Arial"/>
              <w:color w:val="auto"/>
              <w:sz w:val="16"/>
              <w:szCs w:val="16"/>
            </w:rPr>
            <w:fldChar w:fldCharType="separate"/>
          </w:r>
          <w:r w:rsidR="0093455B">
            <w:rPr>
              <w:rStyle w:val="LogoportDoNotTranslate"/>
              <w:rFonts w:ascii="Arial" w:hAnsi="Arial" w:cs="Arial"/>
              <w:noProof/>
              <w:color w:val="auto"/>
              <w:sz w:val="16"/>
              <w:szCs w:val="16"/>
            </w:rPr>
            <w:t>1</w:t>
          </w:r>
          <w:r w:rsidRPr="00F620CD">
            <w:rPr>
              <w:rStyle w:val="LogoportDoNotTranslate"/>
              <w:rFonts w:ascii="Arial" w:hAnsi="Arial" w:cs="Arial"/>
              <w:color w:val="auto"/>
              <w:sz w:val="16"/>
              <w:szCs w:val="16"/>
            </w:rPr>
            <w:fldChar w:fldCharType="end"/>
          </w:r>
          <w:r w:rsidRPr="00F620CD">
            <w:rPr>
              <w:rStyle w:val="LogoportDoNotTranslate"/>
              <w:rFonts w:ascii="Arial" w:hAnsi="Arial" w:cs="Arial"/>
              <w:color w:val="auto"/>
              <w:sz w:val="16"/>
              <w:szCs w:val="16"/>
            </w:rPr>
            <w:t xml:space="preserve"> of </w:t>
          </w:r>
          <w:r w:rsidRPr="00F620CD">
            <w:rPr>
              <w:rStyle w:val="LogoportDoNotTranslate"/>
              <w:rFonts w:ascii="Arial" w:hAnsi="Arial" w:cs="Arial"/>
              <w:color w:val="auto"/>
              <w:sz w:val="16"/>
              <w:szCs w:val="16"/>
            </w:rPr>
            <w:fldChar w:fldCharType="begin"/>
          </w:r>
          <w:r w:rsidRPr="00F620CD">
            <w:rPr>
              <w:rStyle w:val="LogoportDoNotTranslate"/>
              <w:rFonts w:ascii="Arial" w:hAnsi="Arial" w:cs="Arial"/>
              <w:color w:val="auto"/>
              <w:sz w:val="16"/>
              <w:szCs w:val="16"/>
            </w:rPr>
            <w:instrText xml:space="preserve"> NUMPAGES  \* MERGEFORMAT </w:instrText>
          </w:r>
          <w:r w:rsidRPr="00F620CD">
            <w:rPr>
              <w:rStyle w:val="LogoportDoNotTranslate"/>
              <w:rFonts w:ascii="Arial" w:hAnsi="Arial" w:cs="Arial"/>
              <w:color w:val="auto"/>
              <w:sz w:val="16"/>
              <w:szCs w:val="16"/>
            </w:rPr>
            <w:fldChar w:fldCharType="separate"/>
          </w:r>
          <w:r w:rsidR="0093455B">
            <w:rPr>
              <w:rStyle w:val="LogoportDoNotTranslate"/>
              <w:rFonts w:ascii="Arial" w:hAnsi="Arial" w:cs="Arial"/>
              <w:noProof/>
              <w:color w:val="auto"/>
              <w:sz w:val="16"/>
              <w:szCs w:val="16"/>
            </w:rPr>
            <w:t>1</w:t>
          </w:r>
          <w:r w:rsidRPr="00F620CD">
            <w:rPr>
              <w:rStyle w:val="LogoportDoNotTranslate"/>
              <w:rFonts w:ascii="Arial" w:hAnsi="Arial" w:cs="Arial"/>
              <w:color w:val="auto"/>
              <w:sz w:val="16"/>
              <w:szCs w:val="16"/>
            </w:rPr>
            <w:fldChar w:fldCharType="end"/>
          </w:r>
        </w:p>
        <w:p w:rsidR="00F620CD" w:rsidRPr="00F620CD" w:rsidRDefault="00F620CD" w:rsidP="00F620CD">
          <w:pPr>
            <w:pStyle w:val="Footer"/>
            <w:jc w:val="right"/>
            <w:rPr>
              <w:rStyle w:val="LogoportDoNotTranslate"/>
              <w:rFonts w:ascii="Arial" w:hAnsi="Arial" w:cs="Arial"/>
              <w:color w:val="auto"/>
              <w:sz w:val="16"/>
              <w:szCs w:val="16"/>
            </w:rPr>
          </w:pPr>
        </w:p>
      </w:tc>
    </w:tr>
  </w:tbl>
  <w:p w:rsidR="005D37CF" w:rsidRPr="00F620CD" w:rsidRDefault="0093455B" w:rsidP="00F620CD">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E78" w:rsidRDefault="00A57E78" w:rsidP="00ED426A">
      <w:pPr>
        <w:spacing w:before="0"/>
      </w:pPr>
      <w:r>
        <w:separator/>
      </w:r>
    </w:p>
  </w:footnote>
  <w:footnote w:type="continuationSeparator" w:id="0">
    <w:p w:rsidR="00A57E78" w:rsidRDefault="00A57E78" w:rsidP="00ED426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90" w:rsidRDefault="0093455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61157" o:spid="_x0000_s2050"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90" w:rsidRDefault="0093455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61158" o:spid="_x0000_s2051" type="#_x0000_t75" style="position:absolute;left:0;text-align:left;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93455B"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61156" o:spid="_x0000_s2049" type="#_x0000_t75" style="position:absolute;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r w:rsidR="00B40A0E">
      <w:rPr>
        <w:noProof/>
        <w:lang w:val="en-US" w:eastAsia="en-US" w:bidi="ar-SA"/>
      </w:rPr>
      <w:drawing>
        <wp:inline distT="0" distB="0" distL="0" distR="0" wp14:anchorId="66AA4120" wp14:editId="2C9164A2">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27"/>
    <w:rsid w:val="0000293A"/>
    <w:rsid w:val="00100B35"/>
    <w:rsid w:val="001260E4"/>
    <w:rsid w:val="00247B91"/>
    <w:rsid w:val="002F2E27"/>
    <w:rsid w:val="00415B00"/>
    <w:rsid w:val="00464DAF"/>
    <w:rsid w:val="007E740F"/>
    <w:rsid w:val="00861F6B"/>
    <w:rsid w:val="0093455B"/>
    <w:rsid w:val="00A57E78"/>
    <w:rsid w:val="00A83057"/>
    <w:rsid w:val="00B018A8"/>
    <w:rsid w:val="00B40A0E"/>
    <w:rsid w:val="00D12306"/>
    <w:rsid w:val="00E42028"/>
    <w:rsid w:val="00ED426A"/>
    <w:rsid w:val="00F37588"/>
    <w:rsid w:val="00F620C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51D509-C495-482F-B7F6-8BD81567CCDF}"/>
  <w:documentProtection w:edit="forms" w:enforcement="true" w:cryptProviderType="rsaFull" w:cryptAlgorithmClass="hash" w:cryptAlgorithmType="typeAny" w:cryptAlgorithmSid="4" w:cryptSpinCount="50000" w:hash="Do6/GnUmIDWwS12PfuDUhccvSxk=" w:salt="wgqpak18mmNaq7zqid8CT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E27"/>
    <w:pPr>
      <w:spacing w:before="120" w:after="0" w:line="240" w:lineRule="auto"/>
      <w:jc w:val="both"/>
    </w:pPr>
    <w:rPr>
      <w:rFonts w:ascii="Arial" w:hAnsi="Arial" w:cs="Arial"/>
      <w:sz w:val="20"/>
      <w:szCs w:val="20"/>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E27"/>
    <w:pPr>
      <w:tabs>
        <w:tab w:val="center" w:pos="4680"/>
        <w:tab w:val="right" w:pos="9360"/>
      </w:tabs>
      <w:spacing w:before="0"/>
    </w:pPr>
  </w:style>
  <w:style w:type="character" w:customStyle="1" w:styleId="HeaderChar">
    <w:name w:val="Header Char"/>
    <w:basedOn w:val="DefaultParagraphFont"/>
    <w:link w:val="Header"/>
    <w:uiPriority w:val="99"/>
    <w:rsid w:val="002F2E27"/>
    <w:rPr>
      <w:rFonts w:ascii="Arial" w:hAnsi="Arial" w:cs="Arial"/>
      <w:sz w:val="20"/>
      <w:szCs w:val="20"/>
      <w:lang w:val="zh-CN" w:eastAsia="zh-CN" w:bidi="zh-CN"/>
    </w:rPr>
  </w:style>
  <w:style w:type="paragraph" w:styleId="Footer">
    <w:name w:val="footer"/>
    <w:basedOn w:val="Normal"/>
    <w:link w:val="FooterChar"/>
    <w:uiPriority w:val="99"/>
    <w:unhideWhenUsed/>
    <w:rsid w:val="002F2E27"/>
    <w:pPr>
      <w:tabs>
        <w:tab w:val="center" w:pos="4680"/>
        <w:tab w:val="right" w:pos="9360"/>
      </w:tabs>
      <w:spacing w:before="0"/>
    </w:pPr>
  </w:style>
  <w:style w:type="character" w:customStyle="1" w:styleId="FooterChar">
    <w:name w:val="Footer Char"/>
    <w:basedOn w:val="DefaultParagraphFont"/>
    <w:link w:val="Footer"/>
    <w:uiPriority w:val="99"/>
    <w:rsid w:val="002F2E27"/>
    <w:rPr>
      <w:rFonts w:ascii="Arial" w:hAnsi="Arial" w:cs="Arial"/>
      <w:sz w:val="20"/>
      <w:szCs w:val="20"/>
      <w:lang w:val="zh-CN" w:eastAsia="zh-CN" w:bidi="zh-CN"/>
    </w:rPr>
  </w:style>
  <w:style w:type="table" w:styleId="TableGrid">
    <w:name w:val="Table Grid"/>
    <w:basedOn w:val="TableNormal"/>
    <w:uiPriority w:val="59"/>
    <w:rsid w:val="002F2E27"/>
    <w:pPr>
      <w:spacing w:after="0" w:line="240" w:lineRule="auto"/>
      <w:jc w:val="both"/>
    </w:pPr>
    <w:rPr>
      <w:rFonts w:ascii="Arial" w:hAnsi="Arial" w:cs="Arial"/>
      <w:sz w:val="20"/>
      <w:szCs w:val="20"/>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E27"/>
    <w:pPr>
      <w:ind w:left="720"/>
      <w:contextualSpacing/>
    </w:pPr>
  </w:style>
  <w:style w:type="character" w:customStyle="1" w:styleId="LogoportDoNotTranslate">
    <w:name w:val="LogoportDoNotTranslate"/>
    <w:basedOn w:val="DefaultParagraphFont"/>
    <w:rsid w:val="002F2E27"/>
    <w:rPr>
      <w:rFonts w:ascii="Courier New" w:hAnsi="Courier New" w:cs="Courier New"/>
      <w:b w:val="0"/>
      <w:color w:val="808080"/>
      <w:sz w:val="18"/>
      <w:szCs w:val="36"/>
    </w:rPr>
  </w:style>
  <w:style w:type="paragraph" w:styleId="BalloonText">
    <w:name w:val="Balloon Text"/>
    <w:basedOn w:val="Normal"/>
    <w:link w:val="BalloonTextChar"/>
    <w:uiPriority w:val="99"/>
    <w:semiHidden/>
    <w:unhideWhenUsed/>
    <w:rsid w:val="002F2E2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E27"/>
    <w:rPr>
      <w:rFonts w:ascii="Tahoma" w:hAnsi="Tahoma" w:cs="Tahoma"/>
      <w:sz w:val="16"/>
      <w:szCs w:val="16"/>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Lionbridge</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Pooja</dc:creator>
  <cp:lastModifiedBy>Alexandra Myles (Inviso)</cp:lastModifiedBy>
  <cp:revision>26</cp:revision>
  <cp:lastPrinted>2014-09-29T15:23:00Z</cp:lastPrinted>
  <dcterms:created xsi:type="dcterms:W3CDTF">2014-09-23T11:31:00Z</dcterms:created>
  <dcterms:modified xsi:type="dcterms:W3CDTF">2014-10-07T18:29:00Z</dcterms:modified>
</cp:coreProperties>
</file>