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86" w:rsidRPr="00C61072" w:rsidRDefault="00CF4E9C" w:rsidP="00BB2686">
      <w:pPr>
        <w:spacing w:before="240"/>
        <w:jc w:val="left"/>
        <w:rPr>
          <w:sz w:val="36"/>
          <w:szCs w:val="36"/>
        </w:rPr>
      </w:pPr>
      <w:bookmarkStart w:id="0" w:name="_GoBack"/>
      <w:bookmarkEnd w:id="0"/>
      <w:r w:rsidRPr="00C61072">
        <w:rPr>
          <w:sz w:val="36"/>
          <w:szCs w:val="36"/>
        </w:rPr>
        <w:t>Definice oprávnění státní správy společnosti Microsoft</w:t>
      </w:r>
      <w:r w:rsidR="007B374A" w:rsidRPr="00C61072">
        <w:rPr>
          <w:sz w:val="36"/>
          <w:szCs w:val="36"/>
        </w:rPr>
        <w:t> </w:t>
      </w:r>
      <w:r w:rsidRPr="00C61072">
        <w:rPr>
          <w:sz w:val="36"/>
          <w:szCs w:val="36"/>
        </w:rPr>
        <w:t>(EMEA)</w:t>
      </w:r>
    </w:p>
    <w:p w:rsidR="00C61072" w:rsidRPr="00C61072" w:rsidRDefault="00C61072" w:rsidP="00BB2686">
      <w:pPr>
        <w:spacing w:before="240"/>
        <w:jc w:val="left"/>
        <w:rPr>
          <w:sz w:val="36"/>
          <w:szCs w:val="36"/>
        </w:rPr>
        <w:sectPr w:rsidR="00C61072" w:rsidRPr="00C61072" w:rsidSect="001658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p w:rsidR="00CF4E9C" w:rsidRPr="00C61072" w:rsidRDefault="002B1126" w:rsidP="00883E16">
      <w:pPr>
        <w:spacing w:before="360" w:after="120"/>
      </w:pPr>
      <w:r w:rsidRPr="00C61072">
        <w:lastRenderedPageBreak/>
        <w:t>Organizace z veřejného sektoru, které spadají do kategorií či kritérií definovaných a popsaných níže, se mohou účastnit multilicenčních programů společnosti Microsoft specificky navržených pro státní subjekty („oprávněné subjekty“). „Oprávněným subjektem“ se rozumí jakákoli organizace, která</w:t>
      </w:r>
      <w:r w:rsidR="00C61072">
        <w:t> </w:t>
      </w:r>
      <w:r w:rsidRPr="00C61072">
        <w:t>nevyvíjí činnost za účelem vytváření zisku a spadá do j</w:t>
      </w:r>
      <w:r w:rsidR="00314652" w:rsidRPr="00C61072">
        <w:t>edné z následujících kategorií:</w:t>
      </w:r>
      <w:r w:rsidRPr="00C61072">
        <w:t xml:space="preserve"> 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978"/>
        <w:gridCol w:w="6051"/>
      </w:tblGrid>
      <w:tr w:rsidR="00CF4E9C" w:rsidRPr="00C61072" w:rsidTr="00165890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 w:themeFill="text1"/>
          </w:tcPr>
          <w:p w:rsidR="00CF4E9C" w:rsidRPr="00C61072" w:rsidRDefault="00CF4E9C" w:rsidP="00883E16">
            <w:pPr>
              <w:keepNext/>
              <w:spacing w:before="120" w:after="120"/>
              <w:rPr>
                <w:b/>
                <w:bCs/>
                <w:color w:val="FFFFFF" w:themeColor="background1"/>
              </w:rPr>
            </w:pPr>
            <w:r w:rsidRPr="00C61072">
              <w:rPr>
                <w:b/>
                <w:bCs/>
                <w:color w:val="FFFFFF" w:themeColor="background1"/>
              </w:rPr>
              <w:t>Kategorie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A. Nadnárodní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883E16">
            <w:pPr>
              <w:spacing w:before="120" w:after="120"/>
            </w:pPr>
            <w:r w:rsidRPr="00C61072">
              <w:t>Veškeré organizace/instituce se zřetelnou regulační nebo legislativní úlohou napříč mnoha národními vládami.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B. Národní/Federální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883E16">
            <w:pPr>
              <w:spacing w:before="120" w:after="120"/>
            </w:pPr>
            <w:r w:rsidRPr="00C61072">
              <w:t>Veškeré státní organizace/instituce, které jsou spravovány na federální/národní úrovni a mají pravomoc vl</w:t>
            </w:r>
            <w:r w:rsidR="00314652" w:rsidRPr="00C61072">
              <w:t>ádnout národnímu státu či zemi.</w:t>
            </w:r>
            <w:r w:rsidRPr="00C61072">
              <w:t xml:space="preserve"> Zahrnuje parlamentní orgány a soudní orgány s pravomocí určovat právní řád či rozhodovat o něm.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7B374A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C. Regionální/Státní/</w:t>
            </w:r>
            <w:r w:rsidR="00CF4E9C" w:rsidRPr="00C61072">
              <w:rPr>
                <w:b/>
                <w:bCs/>
              </w:rPr>
              <w:t>Oblastní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883E16">
            <w:pPr>
              <w:spacing w:before="120" w:after="120"/>
            </w:pPr>
            <w:r w:rsidRPr="00C61072">
              <w:t>Střední stupeň vlády, který nepokrývá celou zemi, ale v rámci své vládní jurisdikce zahrnuje několik oblastí místní správy. Zahrnuje (1) veškeré vládní organizace/instituce, které jsou spravovány na státní/regionální úrovni a jsou označovány různě: regiony, departmenty, státy, země, kraje nebo oblasti, a (2) veškeré orgány s pravomocí určovat právní řád či rozhodovat o něm v daném regionu, departmentu, státu, zemi, kraji či oblasti.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D. místní/obecní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C61072">
            <w:pPr>
              <w:spacing w:before="120" w:after="120"/>
            </w:pPr>
            <w:r w:rsidRPr="00C61072">
              <w:t>Nejnižší úroveň vlády a související správy. Zahrnuje veškeré vládní organizace/instituce, které jsou spravovány na úrovni statutárních měst, měst, obvodů, obcí s rozšířenou působností, vesnic, okresů, samosprávných obcí a městských čtvrtí (např.</w:t>
            </w:r>
            <w:r w:rsidR="00C61072">
              <w:t> </w:t>
            </w:r>
            <w:r w:rsidRPr="00C61072">
              <w:t>rekreace, sběr odpadu, hasičský sbor, řízení místních služeb a realizace některých státních služeb).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E. Zdravotní péče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883E16">
            <w:pPr>
              <w:spacing w:before="120" w:after="120"/>
            </w:pPr>
            <w:r w:rsidRPr="00C61072">
              <w:t>Jakékoli vládní organizace/instituce, které poskytují zdravotnické služby a péči, určují politiku zdravotnictví v národním, státním nebo zemském rozsahu nebo o ní rozhodují, poskytují financování zdravotnických služeb a péče nebo mají regulační úlohu v oblasti zdravotnických služeb a péče.</w:t>
            </w:r>
          </w:p>
        </w:tc>
      </w:tr>
      <w:tr w:rsidR="00CF4E9C" w:rsidRPr="00C61072" w:rsidTr="007B374A">
        <w:trPr>
          <w:cantSplit/>
          <w:tblHeader/>
          <w:jc w:val="center"/>
        </w:trPr>
        <w:tc>
          <w:tcPr>
            <w:tcW w:w="2978" w:type="dxa"/>
            <w:vAlign w:val="center"/>
          </w:tcPr>
          <w:p w:rsidR="00CF4E9C" w:rsidRPr="00C61072" w:rsidRDefault="00CF4E9C" w:rsidP="00883E16">
            <w:pPr>
              <w:spacing w:before="120" w:after="120"/>
              <w:jc w:val="left"/>
              <w:rPr>
                <w:b/>
                <w:bCs/>
              </w:rPr>
            </w:pPr>
            <w:r w:rsidRPr="00C61072">
              <w:rPr>
                <w:b/>
                <w:bCs/>
              </w:rPr>
              <w:t>F. Jiné vládní organizace</w:t>
            </w:r>
          </w:p>
        </w:tc>
        <w:tc>
          <w:tcPr>
            <w:tcW w:w="6051" w:type="dxa"/>
            <w:vAlign w:val="center"/>
          </w:tcPr>
          <w:p w:rsidR="00CF4E9C" w:rsidRPr="00C61072" w:rsidRDefault="00CF4E9C" w:rsidP="00883E16">
            <w:pPr>
              <w:spacing w:before="120" w:after="120"/>
            </w:pPr>
            <w:r w:rsidRPr="00C61072">
              <w:t>Jakákoli organizace, která je podřízena výhradně mezinárodně uznávané vládě národního státu nebo je touto vládou na nejvyšší úrovni řízena.</w:t>
            </w:r>
          </w:p>
          <w:p w:rsidR="00AA5A57" w:rsidRPr="00C61072" w:rsidRDefault="00AA5A57" w:rsidP="00883E16">
            <w:pPr>
              <w:spacing w:after="120"/>
            </w:pPr>
            <w:r w:rsidRPr="00C61072">
              <w:t xml:space="preserve">Jakákoli organizace vytvořená legislativou k plnění veřejného účelu, jak je popsán v příslušné povolující legislativě nebo ve stanovách/cílech takové organizace (např. zákonné rady, městské společnosti, vládní výzkumné organizace). </w:t>
            </w:r>
          </w:p>
        </w:tc>
      </w:tr>
    </w:tbl>
    <w:p w:rsidR="00CF4E9C" w:rsidRPr="00C61072" w:rsidRDefault="00CF4E9C" w:rsidP="00883E16">
      <w:r w:rsidRPr="00C61072">
        <w:t>Pokud organizace spadá do některé z výše uvedených kategorií a vykonává činnost s cílem vytvářet zisk, budou se na ni vztahovat následující další kritéria určující, zda bude organizace kvalifikována jako oprávněný subjekt.</w:t>
      </w:r>
    </w:p>
    <w:p w:rsidR="00CF4E9C" w:rsidRPr="00C61072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61072">
        <w:t>Připadají výnosy/zisky výhradně organizaci státní správy (nebo také soukromým podílníkům)?</w:t>
      </w:r>
    </w:p>
    <w:p w:rsidR="00CF4E9C" w:rsidRPr="00C61072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61072">
        <w:t>Je dotyčná organizace zproštěna daně ze zisků společnosti?</w:t>
      </w:r>
    </w:p>
    <w:p w:rsidR="00CF4E9C" w:rsidRPr="00C61072" w:rsidRDefault="00CF4E9C" w:rsidP="00883E16">
      <w:pPr>
        <w:pStyle w:val="ListParagraph"/>
        <w:numPr>
          <w:ilvl w:val="0"/>
          <w:numId w:val="1"/>
        </w:numPr>
        <w:ind w:left="1080"/>
        <w:contextualSpacing w:val="0"/>
      </w:pPr>
      <w:r w:rsidRPr="00C61072">
        <w:lastRenderedPageBreak/>
        <w:t>Je organizace financována z více než 50 % organizací státní správy (tj. získává z komerčních aktivit méně než 50 % svého financování)?</w:t>
      </w:r>
    </w:p>
    <w:p w:rsidR="00CF4E9C" w:rsidRPr="00C61072" w:rsidRDefault="00CF4E9C" w:rsidP="00883E16">
      <w:r w:rsidRPr="00C61072">
        <w:t>Pokud je odpověď na tyto otázky „ano“, organizace se kvalifikuje jako oprávněný subjekt. Jestliže je odpověď na kteroukoli z výše uvedených otázek „ne“, organizace se jako oprávněný subjekt nekvalifikuje. Obecně platí, že společnosti vlastněné organizací státní správy, státní podniky a organizace vlastněné organizací státní správy (ať již zapsané do obchodního rejstříku či nikoli) vykonávající komerční činnosti (např. telekomunikace, bankovnictví, doprava atd.) se nekval</w:t>
      </w:r>
      <w:r w:rsidR="006D4516">
        <w:t>ifikují jako oprávněný subjekt.</w:t>
      </w:r>
    </w:p>
    <w:p w:rsidR="00CF4E9C" w:rsidRPr="00C61072" w:rsidRDefault="00CF4E9C" w:rsidP="00883E16">
      <w:r w:rsidRPr="00C61072">
        <w:t>Jestliže vláda nebo země zveřejní seznam organizací veřejného sektoru, mohou být tyto organizace kvalifikovány jako oprávněné subjekty, jen pokud splňují krit</w:t>
      </w:r>
      <w:r w:rsidR="006D4516">
        <w:t>éria stanovená v této definici.</w:t>
      </w:r>
    </w:p>
    <w:p w:rsidR="00E24334" w:rsidRPr="00C61072" w:rsidRDefault="00E24334" w:rsidP="00883E16">
      <w:r w:rsidRPr="00C61072">
        <w:t>Jestliže organizace pozbude statut oprávněného státního subjektu po podpisu licenční smlouvy, může nadále používat kopie, na které má licenci, avšak nemůže v rámci programů Microsoft Government License předložit žádn</w:t>
      </w:r>
      <w:r w:rsidR="006D4516">
        <w:t>ou novou objednávku na licence.</w:t>
      </w:r>
    </w:p>
    <w:p w:rsidR="00F9352D" w:rsidRPr="00C61072" w:rsidRDefault="00A561A9" w:rsidP="000A6499">
      <w:bookmarkStart w:id="1" w:name="OLE_LINK1"/>
      <w:bookmarkStart w:id="2" w:name="OLE_LINK2"/>
      <w:r w:rsidRPr="00C61072">
        <w:t>Společnost Microsoft nabízí oprávněným organizacím z veřejného sektoru (jak jsou definovány a</w:t>
      </w:r>
      <w:r w:rsidR="007B374A" w:rsidRPr="00C61072">
        <w:t> </w:t>
      </w:r>
      <w:r w:rsidRPr="00C61072">
        <w:t>popsán</w:t>
      </w:r>
      <w:r w:rsidR="00314652" w:rsidRPr="00C61072">
        <w:t>y výše) ceny pro státní správu.</w:t>
      </w:r>
      <w:r w:rsidRPr="00C61072">
        <w:t xml:space="preserve"> Za podmínky dodržení takových dalších kvalifikujících požadavků, které mohou být stanoveny v určité multilicenční smlouvě, se oprávněné organizace kvalifikují k (1) cenovému stupni D v rámci multilicenčních programů Enterprise, Enterprise Subscription, Select nebo Select Plus nebo (2) jiným slevám, které mohou být k dispozici na základě jiných multilicenčních programů společnosti Microsoft.</w:t>
      </w:r>
      <w:bookmarkEnd w:id="1"/>
      <w:bookmarkEnd w:id="2"/>
    </w:p>
    <w:sectPr w:rsidR="00F9352D" w:rsidRPr="00C61072" w:rsidSect="00165890">
      <w:type w:val="continuous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D9" w:rsidRDefault="003E5AD9" w:rsidP="00CF4E9C">
      <w:pPr>
        <w:spacing w:before="0"/>
      </w:pPr>
      <w:r>
        <w:separator/>
      </w:r>
    </w:p>
  </w:endnote>
  <w:endnote w:type="continuationSeparator" w:id="0">
    <w:p w:rsidR="003E5AD9" w:rsidRDefault="003E5AD9" w:rsidP="00CF4E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3D" w:rsidRDefault="00A271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4466"/>
    </w:tblGrid>
    <w:tr w:rsidR="00A2713D" w:rsidRPr="00A2713D" w:rsidTr="00D50176">
      <w:trPr>
        <w:jc w:val="center"/>
      </w:trPr>
      <w:tc>
        <w:tcPr>
          <w:tcW w:w="4621" w:type="dxa"/>
          <w:shd w:val="clear" w:color="auto" w:fill="auto"/>
        </w:tcPr>
        <w:p w:rsidR="00A2713D" w:rsidRPr="00A2713D" w:rsidRDefault="00A2713D" w:rsidP="00A2713D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GovEligibilityDef(EMEA)(CZE)(Nov2014)</w:t>
          </w:r>
        </w:p>
      </w:tc>
      <w:tc>
        <w:tcPr>
          <w:tcW w:w="4622" w:type="dxa"/>
          <w:shd w:val="clear" w:color="auto" w:fill="auto"/>
        </w:tcPr>
        <w:p w:rsidR="00A2713D" w:rsidRPr="00A2713D" w:rsidRDefault="00A2713D" w:rsidP="00A2713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76D96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2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76D96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2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A2713D" w:rsidRPr="00A2713D" w:rsidRDefault="00A2713D" w:rsidP="00A2713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A2713D" w:rsidRPr="00A2713D" w:rsidRDefault="00A2713D" w:rsidP="00A2713D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  <w:p w:rsidR="0006204C" w:rsidRPr="00A2713D" w:rsidRDefault="0006204C" w:rsidP="00A2713D">
    <w:pPr>
      <w:pStyle w:val="Footer"/>
      <w:rPr>
        <w:rStyle w:val="LogoportDoNotTranslate"/>
        <w:rFonts w:ascii="Arial" w:hAnsi="Arial" w:cs="Arial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4466"/>
    </w:tblGrid>
    <w:tr w:rsidR="00A2713D" w:rsidRPr="00A2713D" w:rsidTr="00A2713D">
      <w:trPr>
        <w:jc w:val="center"/>
      </w:trPr>
      <w:tc>
        <w:tcPr>
          <w:tcW w:w="4621" w:type="dxa"/>
          <w:shd w:val="clear" w:color="auto" w:fill="auto"/>
        </w:tcPr>
        <w:p w:rsidR="00A2713D" w:rsidRPr="00A2713D" w:rsidRDefault="00A2713D" w:rsidP="00A2713D">
          <w:pPr>
            <w:pStyle w:val="Footer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>GovEligibilityDef(EMEA)(CZE)(Nov2014)</w:t>
          </w:r>
        </w:p>
      </w:tc>
      <w:tc>
        <w:tcPr>
          <w:tcW w:w="4622" w:type="dxa"/>
          <w:shd w:val="clear" w:color="auto" w:fill="auto"/>
        </w:tcPr>
        <w:p w:rsidR="00A2713D" w:rsidRPr="00A2713D" w:rsidRDefault="00A2713D" w:rsidP="00A2713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Page 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PAGE  \* MERGEFORMAT </w:instrTex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76D96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t xml:space="preserve"> of 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begin"/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instrText xml:space="preserve"> NUMPAGES  \* MERGEFORMAT </w:instrTex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separate"/>
          </w:r>
          <w:r w:rsidR="00C76D96">
            <w:rPr>
              <w:rStyle w:val="LogoportDoNotTranslate"/>
              <w:rFonts w:ascii="Arial" w:hAnsi="Arial" w:cs="Arial"/>
              <w:noProof/>
              <w:color w:val="auto"/>
              <w:sz w:val="16"/>
              <w:szCs w:val="16"/>
            </w:rPr>
            <w:t>1</w:t>
          </w:r>
          <w:r w:rsidRPr="00A2713D"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  <w:fldChar w:fldCharType="end"/>
          </w:r>
        </w:p>
        <w:p w:rsidR="00A2713D" w:rsidRPr="00A2713D" w:rsidRDefault="00A2713D" w:rsidP="00A2713D">
          <w:pPr>
            <w:pStyle w:val="Footer"/>
            <w:jc w:val="right"/>
            <w:rPr>
              <w:rStyle w:val="LogoportDoNotTranslate"/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5D37CF" w:rsidRPr="00A2713D" w:rsidRDefault="005D37CF" w:rsidP="00A2713D">
    <w:pPr>
      <w:pStyle w:val="Footer"/>
      <w:rPr>
        <w:rStyle w:val="LogoportDoNotTranslate"/>
        <w:rFonts w:ascii="Arial" w:hAnsi="Arial" w:cs="Arial"/>
        <w:color w:val="auto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D9" w:rsidRDefault="003E5AD9" w:rsidP="00CF4E9C">
      <w:pPr>
        <w:spacing w:before="0"/>
      </w:pPr>
      <w:r>
        <w:separator/>
      </w:r>
    </w:p>
  </w:footnote>
  <w:footnote w:type="continuationSeparator" w:id="0">
    <w:p w:rsidR="003E5AD9" w:rsidRDefault="003E5AD9" w:rsidP="00CF4E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C76D9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6" o:spid="_x0000_s2053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65" w:rsidRDefault="00C76D9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7" o:spid="_x0000_s2054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CF" w:rsidRDefault="00C76D96" w:rsidP="00FB472C">
    <w:pPr>
      <w:pStyle w:val="Header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3625" o:spid="_x0000_s2052" type="#_x0000_t75" style="position:absolute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17783A">
      <w:rPr>
        <w:noProof/>
        <w:lang w:val="en-US" w:eastAsia="en-US" w:bidi="ar-SA"/>
      </w:rPr>
      <w:drawing>
        <wp:inline distT="0" distB="0" distL="0" distR="0" wp14:anchorId="6B97A499" wp14:editId="33926A1C">
          <wp:extent cx="5724525" cy="561975"/>
          <wp:effectExtent l="0" t="0" r="0" b="9525"/>
          <wp:docPr id="1" name="Picture 1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E7C"/>
    <w:multiLevelType w:val="hybridMultilevel"/>
    <w:tmpl w:val="B22E41D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02D00D01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C45"/>
    <w:multiLevelType w:val="hybridMultilevel"/>
    <w:tmpl w:val="1C9C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3D8"/>
    <w:multiLevelType w:val="hybridMultilevel"/>
    <w:tmpl w:val="E2D803AC"/>
    <w:lvl w:ilvl="0" w:tplc="28A486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9082D"/>
    <w:multiLevelType w:val="hybridMultilevel"/>
    <w:tmpl w:val="9142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4390"/>
    <w:multiLevelType w:val="hybridMultilevel"/>
    <w:tmpl w:val="7BF299D6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7552D"/>
    <w:multiLevelType w:val="hybridMultilevel"/>
    <w:tmpl w:val="AD7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A56B6"/>
    <w:multiLevelType w:val="hybridMultilevel"/>
    <w:tmpl w:val="4E6E5CF0"/>
    <w:lvl w:ilvl="0" w:tplc="D2E06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87D14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6D05"/>
    <w:multiLevelType w:val="hybridMultilevel"/>
    <w:tmpl w:val="FC2E0CBE"/>
    <w:lvl w:ilvl="0" w:tplc="1124D4FA">
      <w:start w:val="1"/>
      <w:numFmt w:val="decimal"/>
      <w:lvlText w:val="%1."/>
      <w:lvlJc w:val="left"/>
      <w:pPr>
        <w:ind w:left="720" w:hanging="360"/>
      </w:pPr>
      <w:rPr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41251"/>
    <w:multiLevelType w:val="hybridMultilevel"/>
    <w:tmpl w:val="DBA03C4C"/>
    <w:lvl w:ilvl="0" w:tplc="BFE2E13A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998E7A4">
      <w:start w:val="1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5DCA"/>
    <w:multiLevelType w:val="hybridMultilevel"/>
    <w:tmpl w:val="9756253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3">
    <w:nsid w:val="438D43AF"/>
    <w:multiLevelType w:val="hybridMultilevel"/>
    <w:tmpl w:val="C2E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81737"/>
    <w:multiLevelType w:val="hybridMultilevel"/>
    <w:tmpl w:val="AAAE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704CF"/>
    <w:multiLevelType w:val="hybridMultilevel"/>
    <w:tmpl w:val="344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3252E"/>
    <w:multiLevelType w:val="hybridMultilevel"/>
    <w:tmpl w:val="140C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D2466"/>
    <w:multiLevelType w:val="hybridMultilevel"/>
    <w:tmpl w:val="B74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234CF"/>
    <w:multiLevelType w:val="hybridMultilevel"/>
    <w:tmpl w:val="5166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E697A"/>
    <w:multiLevelType w:val="hybridMultilevel"/>
    <w:tmpl w:val="8290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E36F9"/>
    <w:multiLevelType w:val="hybridMultilevel"/>
    <w:tmpl w:val="774E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A3B9E"/>
    <w:multiLevelType w:val="hybridMultilevel"/>
    <w:tmpl w:val="B0A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E0767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71763"/>
    <w:multiLevelType w:val="hybridMultilevel"/>
    <w:tmpl w:val="C6D6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60DCE"/>
    <w:multiLevelType w:val="hybridMultilevel"/>
    <w:tmpl w:val="7DB4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23"/>
  </w:num>
  <w:num w:numId="18">
    <w:abstractNumId w:val="17"/>
  </w:num>
  <w:num w:numId="19">
    <w:abstractNumId w:val="20"/>
  </w:num>
  <w:num w:numId="20">
    <w:abstractNumId w:val="21"/>
  </w:num>
  <w:num w:numId="21">
    <w:abstractNumId w:val="24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9C"/>
    <w:rsid w:val="0006204C"/>
    <w:rsid w:val="000829B7"/>
    <w:rsid w:val="000A6499"/>
    <w:rsid w:val="000B789E"/>
    <w:rsid w:val="000E2821"/>
    <w:rsid w:val="001263E5"/>
    <w:rsid w:val="00165890"/>
    <w:rsid w:val="0017783A"/>
    <w:rsid w:val="001A4EAB"/>
    <w:rsid w:val="001D3F84"/>
    <w:rsid w:val="002034A1"/>
    <w:rsid w:val="00254540"/>
    <w:rsid w:val="002B1126"/>
    <w:rsid w:val="002C7665"/>
    <w:rsid w:val="002F2434"/>
    <w:rsid w:val="00305443"/>
    <w:rsid w:val="00314652"/>
    <w:rsid w:val="00316A4D"/>
    <w:rsid w:val="00361066"/>
    <w:rsid w:val="00380578"/>
    <w:rsid w:val="00387A64"/>
    <w:rsid w:val="003A2167"/>
    <w:rsid w:val="003A74D8"/>
    <w:rsid w:val="003B6DC6"/>
    <w:rsid w:val="003E5AD9"/>
    <w:rsid w:val="0042245E"/>
    <w:rsid w:val="004735D0"/>
    <w:rsid w:val="00493CEC"/>
    <w:rsid w:val="004A701B"/>
    <w:rsid w:val="004B6ADE"/>
    <w:rsid w:val="005478FB"/>
    <w:rsid w:val="005505EF"/>
    <w:rsid w:val="00590119"/>
    <w:rsid w:val="005A724D"/>
    <w:rsid w:val="005C5168"/>
    <w:rsid w:val="005D37CF"/>
    <w:rsid w:val="005D760D"/>
    <w:rsid w:val="0064711A"/>
    <w:rsid w:val="006D4516"/>
    <w:rsid w:val="006F214E"/>
    <w:rsid w:val="007B374A"/>
    <w:rsid w:val="007C13AD"/>
    <w:rsid w:val="007E1AD7"/>
    <w:rsid w:val="007E463F"/>
    <w:rsid w:val="00810E3F"/>
    <w:rsid w:val="00814D01"/>
    <w:rsid w:val="00837C81"/>
    <w:rsid w:val="00845DF2"/>
    <w:rsid w:val="0084628C"/>
    <w:rsid w:val="0084691D"/>
    <w:rsid w:val="00857479"/>
    <w:rsid w:val="00883E16"/>
    <w:rsid w:val="008A327A"/>
    <w:rsid w:val="008D739F"/>
    <w:rsid w:val="00921E07"/>
    <w:rsid w:val="00962F52"/>
    <w:rsid w:val="00997BA6"/>
    <w:rsid w:val="009B1C45"/>
    <w:rsid w:val="009B4A1E"/>
    <w:rsid w:val="009E4D3C"/>
    <w:rsid w:val="009F6773"/>
    <w:rsid w:val="00A00760"/>
    <w:rsid w:val="00A12728"/>
    <w:rsid w:val="00A2713D"/>
    <w:rsid w:val="00A561A9"/>
    <w:rsid w:val="00A74B65"/>
    <w:rsid w:val="00AA2506"/>
    <w:rsid w:val="00AA5A57"/>
    <w:rsid w:val="00AF0183"/>
    <w:rsid w:val="00AF2DB2"/>
    <w:rsid w:val="00B72025"/>
    <w:rsid w:val="00BB2686"/>
    <w:rsid w:val="00BF7180"/>
    <w:rsid w:val="00C61072"/>
    <w:rsid w:val="00C71871"/>
    <w:rsid w:val="00C76D96"/>
    <w:rsid w:val="00CC305F"/>
    <w:rsid w:val="00CD6F8A"/>
    <w:rsid w:val="00CF4E9C"/>
    <w:rsid w:val="00D164EA"/>
    <w:rsid w:val="00D47475"/>
    <w:rsid w:val="00D760D9"/>
    <w:rsid w:val="00D767E6"/>
    <w:rsid w:val="00DB0E94"/>
    <w:rsid w:val="00DF1012"/>
    <w:rsid w:val="00E02027"/>
    <w:rsid w:val="00E17EAA"/>
    <w:rsid w:val="00E223A5"/>
    <w:rsid w:val="00E24334"/>
    <w:rsid w:val="00E74F51"/>
    <w:rsid w:val="00E81596"/>
    <w:rsid w:val="00EE1A7E"/>
    <w:rsid w:val="00F24527"/>
    <w:rsid w:val="00F90738"/>
    <w:rsid w:val="00F9234D"/>
    <w:rsid w:val="00F9352D"/>
    <w:rsid w:val="00F938E7"/>
    <w:rsid w:val="00F93BB4"/>
    <w:rsid w:val="00F9695A"/>
    <w:rsid w:val="00FA3838"/>
    <w:rsid w:val="00FB294F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8C77A483-5124-40B3-8266-99751DF01990}"/>
  <w:documentProtection w:edit="forms" w:enforcement="true" w:cryptProviderType="rsaFull" w:cryptAlgorithmClass="hash" w:cryptAlgorithmType="typeAny" w:cryptAlgorithmSid="4" w:cryptSpinCount="50000" w:hash="/qfyCXftF113p/UIdVbiVWoqsI0=" w:salt="McHbIh2UegN4YNEegM1ZN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cs-CZ" w:eastAsia="cs-CZ" w:bidi="cs-CZ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4E9C"/>
  </w:style>
  <w:style w:type="paragraph" w:styleId="Footer">
    <w:name w:val="footer"/>
    <w:basedOn w:val="Normal"/>
    <w:link w:val="FooterChar"/>
    <w:uiPriority w:val="99"/>
    <w:unhideWhenUsed/>
    <w:rsid w:val="00CF4E9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4E9C"/>
  </w:style>
  <w:style w:type="table" w:styleId="TableGrid">
    <w:name w:val="Table Grid"/>
    <w:basedOn w:val="TableNormal"/>
    <w:uiPriority w:val="59"/>
    <w:rsid w:val="00CF4E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EA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26"/>
    <w:rPr>
      <w:b/>
      <w:bCs/>
    </w:rPr>
  </w:style>
  <w:style w:type="paragraph" w:styleId="Revision">
    <w:name w:val="Revision"/>
    <w:hidden/>
    <w:uiPriority w:val="99"/>
    <w:semiHidden/>
    <w:rsid w:val="002B1126"/>
    <w:pPr>
      <w:spacing w:before="0"/>
      <w:jc w:val="left"/>
    </w:pPr>
  </w:style>
  <w:style w:type="character" w:customStyle="1" w:styleId="LogoportDoNotTranslate">
    <w:name w:val="LogoportDoNotTranslate"/>
    <w:basedOn w:val="DefaultParagraphFont"/>
    <w:rsid w:val="00D767E6"/>
    <w:rPr>
      <w:rFonts w:ascii="Courier New" w:hAnsi="Courier New" w:cs="Courier New"/>
      <w:b w:val="0"/>
      <w:color w:val="808080"/>
      <w:sz w:val="18"/>
      <w:szCs w:val="36"/>
    </w:rPr>
  </w:style>
  <w:style w:type="character" w:customStyle="1" w:styleId="LogoportMarkup">
    <w:name w:val="LogoportMarkup"/>
    <w:basedOn w:val="DefaultParagraphFont"/>
    <w:rsid w:val="00D767E6"/>
    <w:rPr>
      <w:rFonts w:ascii="Courier New" w:hAnsi="Courier New" w:cs="Courier New"/>
      <w:b w:val="0"/>
      <w:color w:val="FF0000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30e9df3-be65-4c73-a93b-d1236ebd677e">
      <Terms xmlns="http://schemas.microsoft.com/office/infopath/2007/PartnerControls"/>
    </TaxKeywordTaxHTField>
    <TaxCatchAll xmlns="230e9df3-be65-4c73-a93b-d1236ebd677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CBE26B4809B48B6FDD40945FAE36D" ma:contentTypeVersion="1" ma:contentTypeDescription="Create a new document." ma:contentTypeScope="" ma:versionID="c8ff207410a71e57fb3aceb19d6e4345">
  <xsd:schema xmlns:xsd="http://www.w3.org/2001/XMLSchema" xmlns:xs="http://www.w3.org/2001/XMLSchema" xmlns:p="http://schemas.microsoft.com/office/2006/metadata/properties" xmlns:ns3="230e9df3-be65-4c73-a93b-d1236ebd677e" xmlns:ns4="452e1114-74f1-45d8-9bf6-76ca7629084e" targetNamespace="http://schemas.microsoft.com/office/2006/metadata/properties" ma:root="true" ma:fieldsID="82c80b5bb567105c0f0d7b2fba03a6ad" ns3:_="" ns4:_="">
    <xsd:import namespace="230e9df3-be65-4c73-a93b-d1236ebd677e"/>
    <xsd:import namespace="452e1114-74f1-45d8-9bf6-76ca7629084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5bd4417-ae62-4ca1-ac11-a7df9af4aa7d}" ma:internalName="TaxCatchAll" ma:showField="CatchAllData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5bd4417-ae62-4ca1-ac11-a7df9af4aa7d}" ma:internalName="TaxCatchAllLabel" ma:readOnly="true" ma:showField="CatchAllDataLabel" ma:web="452e1114-74f1-45d8-9bf6-76ca76290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1114-74f1-45d8-9bf6-76ca7629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768FF-E4F0-4EB2-AFE0-E10521E886F3}">
  <ds:schemaRefs>
    <ds:schemaRef ds:uri="http://schemas.microsoft.com/office/2006/metadata/properties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D7AE154-7E54-4494-A60B-7E9023D8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9df3-be65-4c73-a93b-d1236ebd677e"/>
    <ds:schemaRef ds:uri="452e1114-74f1-45d8-9bf6-76ca7629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6B83B-EBBD-469A-ADA1-BA8B76AEA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Xtreme Consulting Group, Inc.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Alexandra Myles (Inviso)</cp:lastModifiedBy>
  <cp:revision>44</cp:revision>
  <cp:lastPrinted>2014-09-29T16:14:00Z</cp:lastPrinted>
  <dcterms:created xsi:type="dcterms:W3CDTF">2014-09-05T03:56:00Z</dcterms:created>
  <dcterms:modified xsi:type="dcterms:W3CDTF">2014-10-07T18:28:00Z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3014e742-e357-48ab-90db-c29bcec68fbb</vt:lpwstr>
  </property>
  <property fmtid="{D5CDD505-2E9C-101B-9397-08002B2CF9AE}" pid="3" name="ContentTypeId">
    <vt:lpwstr>0x010100163CBE26B4809B48B6FDD40945FAE36D</vt:lpwstr>
  </property>
  <property fmtid="{D5CDD505-2E9C-101B-9397-08002B2CF9AE}" pid="4" name="TemplateUrl">
    <vt:lpwstr/>
  </property>
  <property fmtid="{D5CDD505-2E9C-101B-9397-08002B2CF9AE}" pid="5" name="Order">
    <vt:r8>12113900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sMyDocuments">
    <vt:bool>true</vt:bool>
  </property>
  <property fmtid="{D5CDD505-2E9C-101B-9397-08002B2CF9AE}" pid="11" name="TaxKeyword">
    <vt:lpwstr/>
  </property>
</Properties>
</file>