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Pr>
          <w:sz w:val="36"/>
          <w:szCs w:val="36"/>
        </w:rPr>
        <w:t>Definitie kwalificatievereisten voor Microsoft Overheid-programma</w:t>
      </w:r>
      <w:r w:rsidR="00FA4479">
        <w:rPr>
          <w:sz w:val="36"/>
          <w:szCs w:val="36"/>
        </w:rPr>
        <w:t>’</w:t>
      </w:r>
      <w:r>
        <w:rPr>
          <w:sz w:val="36"/>
          <w:szCs w:val="36"/>
        </w:rPr>
        <w:t>s (EMEA)</w:t>
      </w:r>
    </w:p>
    <w:p w:rsidR="00CF4E9C" w:rsidRPr="00883E16" w:rsidRDefault="002B1126" w:rsidP="00883E16">
      <w:pPr>
        <w:spacing w:before="360" w:after="120"/>
      </w:pPr>
      <w:r>
        <w:lastRenderedPageBreak/>
        <w:t>Organisatie in de publieke sector die vallen in de categorieën of voldoen aan de criteria die hieronder worden gedefinieerd en beschreven komen in aanmerking voor deelname aan de Microsoft Volume Licensing-programma</w:t>
      </w:r>
      <w:r w:rsidR="00FA4479">
        <w:t>’</w:t>
      </w:r>
      <w:r>
        <w:t>s die speciaal zijn opgezet voor de ov</w:t>
      </w:r>
      <w:r w:rsidR="00E74846">
        <w:t xml:space="preserve">erheid (“bevoegde entiteiten”) </w:t>
      </w:r>
      <w:r>
        <w:t>Een “bevoegde entiteit” is een organisatie zonder winstbejag die valt in ee</w:t>
      </w:r>
      <w:r w:rsidR="00E74846">
        <w:t>n van de volgende categorieën:</w:t>
      </w:r>
    </w:p>
    <w:tbl>
      <w:tblPr>
        <w:tblStyle w:val="TableGrid"/>
        <w:tblW w:w="9029" w:type="dxa"/>
        <w:jc w:val="center"/>
        <w:tblLook w:val="04A0" w:firstRow="1" w:lastRow="0" w:firstColumn="1" w:lastColumn="0" w:noHBand="0" w:noVBand="1"/>
      </w:tblPr>
      <w:tblGrid>
        <w:gridCol w:w="3296"/>
        <w:gridCol w:w="107"/>
        <w:gridCol w:w="5626"/>
      </w:tblGrid>
      <w:tr w:rsidR="00CF4E9C" w:rsidRPr="00883E16" w:rsidTr="00FA4479">
        <w:trPr>
          <w:cantSplit/>
          <w:tblHeader/>
          <w:jc w:val="center"/>
        </w:trPr>
        <w:tc>
          <w:tcPr>
            <w:tcW w:w="9029" w:type="dxa"/>
            <w:gridSpan w:val="3"/>
            <w:shd w:val="clear" w:color="auto" w:fill="000000" w:themeFill="text1"/>
          </w:tcPr>
          <w:p w:rsidR="00CF4E9C" w:rsidRPr="00883E16" w:rsidRDefault="00CF4E9C" w:rsidP="00883E16">
            <w:pPr>
              <w:keepNext/>
              <w:spacing w:before="120" w:after="120"/>
              <w:rPr>
                <w:b/>
                <w:bCs/>
                <w:color w:val="FFFFFF" w:themeColor="background1"/>
              </w:rPr>
            </w:pPr>
            <w:r>
              <w:rPr>
                <w:b/>
                <w:bCs/>
                <w:color w:val="FFFFFF" w:themeColor="background1"/>
              </w:rPr>
              <w:t>Categorieën</w:t>
            </w:r>
          </w:p>
        </w:tc>
      </w:tr>
      <w:tr w:rsidR="00CF4E9C" w:rsidRPr="00883E16" w:rsidTr="00FA4479">
        <w:trPr>
          <w:cantSplit/>
          <w:trHeight w:val="698"/>
          <w:jc w:val="center"/>
        </w:trPr>
        <w:tc>
          <w:tcPr>
            <w:tcW w:w="3403" w:type="dxa"/>
            <w:gridSpan w:val="2"/>
            <w:vAlign w:val="center"/>
          </w:tcPr>
          <w:p w:rsidR="00CF4E9C" w:rsidRPr="00883E16" w:rsidRDefault="00CF4E9C" w:rsidP="00883E16">
            <w:pPr>
              <w:spacing w:before="120" w:after="120"/>
              <w:jc w:val="left"/>
              <w:rPr>
                <w:b/>
                <w:bCs/>
              </w:rPr>
            </w:pPr>
            <w:r>
              <w:rPr>
                <w:b/>
                <w:bCs/>
              </w:rPr>
              <w:t>A. Grensoverschrijdend</w:t>
            </w:r>
          </w:p>
        </w:tc>
        <w:tc>
          <w:tcPr>
            <w:tcW w:w="5626" w:type="dxa"/>
            <w:vAlign w:val="center"/>
          </w:tcPr>
          <w:p w:rsidR="00CF4E9C" w:rsidRPr="00883E16" w:rsidRDefault="00CF4E9C" w:rsidP="00883E16">
            <w:pPr>
              <w:spacing w:before="120" w:after="120"/>
            </w:pPr>
            <w:r>
              <w:t>Alle organisaties en instellingen die een waarneembare regulerende of wetgevende rol vervullen bij meerdere nationale overheden.</w:t>
            </w:r>
          </w:p>
        </w:tc>
      </w:tr>
      <w:tr w:rsidR="00CF4E9C" w:rsidRPr="00883E16" w:rsidTr="00FA4479">
        <w:trPr>
          <w:cantSplit/>
          <w:trHeight w:val="1449"/>
          <w:jc w:val="center"/>
        </w:trPr>
        <w:tc>
          <w:tcPr>
            <w:tcW w:w="3403" w:type="dxa"/>
            <w:gridSpan w:val="2"/>
            <w:vAlign w:val="center"/>
          </w:tcPr>
          <w:p w:rsidR="00CF4E9C" w:rsidRPr="00883E16" w:rsidRDefault="00CF4E9C" w:rsidP="00883E16">
            <w:pPr>
              <w:spacing w:before="120" w:after="120"/>
              <w:jc w:val="left"/>
              <w:rPr>
                <w:b/>
                <w:bCs/>
              </w:rPr>
            </w:pPr>
            <w:r>
              <w:rPr>
                <w:b/>
                <w:bCs/>
              </w:rPr>
              <w:t>B. Nationaal/Federaal</w:t>
            </w:r>
          </w:p>
        </w:tc>
        <w:tc>
          <w:tcPr>
            <w:tcW w:w="5626" w:type="dxa"/>
            <w:vAlign w:val="center"/>
          </w:tcPr>
          <w:p w:rsidR="00CF4E9C" w:rsidRPr="00FA4479" w:rsidRDefault="00CF4E9C" w:rsidP="00FA4479">
            <w:pPr>
              <w:spacing w:before="120" w:after="120"/>
              <w:rPr>
                <w:spacing w:val="-4"/>
              </w:rPr>
            </w:pPr>
            <w:r w:rsidRPr="00FA4479">
              <w:rPr>
                <w:spacing w:val="-4"/>
              </w:rPr>
              <w:t>Alle overheidsorganisaties en -instellingen die worden beheerd op nationaal of federaal niveau en die beschikken over een mandaat voor het regeren v</w:t>
            </w:r>
            <w:r w:rsidR="00E74846" w:rsidRPr="00FA4479">
              <w:rPr>
                <w:spacing w:val="-4"/>
              </w:rPr>
              <w:t>an een nationale staat of land.</w:t>
            </w:r>
            <w:r w:rsidRPr="00FA4479">
              <w:rPr>
                <w:spacing w:val="-4"/>
              </w:rPr>
              <w:t xml:space="preserve"> Hierbij inbegrepen zijn parlementaire lichamen en gerechtelijke lichamen met de bevoegdheid tot het maken of toepassen van</w:t>
            </w:r>
            <w:r w:rsidR="00FA4479" w:rsidRPr="00FA4479">
              <w:rPr>
                <w:spacing w:val="-4"/>
              </w:rPr>
              <w:t> </w:t>
            </w:r>
            <w:r w:rsidRPr="00FA4479">
              <w:rPr>
                <w:spacing w:val="-4"/>
              </w:rPr>
              <w:t>wetgeving.</w:t>
            </w:r>
          </w:p>
        </w:tc>
      </w:tr>
      <w:tr w:rsidR="00CF4E9C" w:rsidRPr="00883E16" w:rsidTr="00FA4479">
        <w:trPr>
          <w:cantSplit/>
          <w:trHeight w:val="2379"/>
          <w:jc w:val="center"/>
        </w:trPr>
        <w:tc>
          <w:tcPr>
            <w:tcW w:w="3403" w:type="dxa"/>
            <w:gridSpan w:val="2"/>
            <w:vAlign w:val="center"/>
          </w:tcPr>
          <w:p w:rsidR="00CF4E9C" w:rsidRPr="00883E16" w:rsidRDefault="00FA4479" w:rsidP="00883E16">
            <w:pPr>
              <w:spacing w:before="120" w:after="120"/>
              <w:jc w:val="left"/>
              <w:rPr>
                <w:b/>
                <w:bCs/>
              </w:rPr>
            </w:pPr>
            <w:r>
              <w:rPr>
                <w:b/>
                <w:bCs/>
              </w:rPr>
              <w:t>C. Regionaal/Staat</w:t>
            </w:r>
            <w:r w:rsidR="00CF4E9C">
              <w:rPr>
                <w:b/>
                <w:bCs/>
              </w:rPr>
              <w:t>/Provinciaal</w:t>
            </w:r>
          </w:p>
        </w:tc>
        <w:tc>
          <w:tcPr>
            <w:tcW w:w="5626" w:type="dxa"/>
            <w:vAlign w:val="center"/>
          </w:tcPr>
          <w:p w:rsidR="00CF4E9C" w:rsidRPr="00FA4479" w:rsidRDefault="00CF4E9C" w:rsidP="00883E16">
            <w:pPr>
              <w:spacing w:before="120" w:after="120"/>
              <w:rPr>
                <w:spacing w:val="-4"/>
              </w:rPr>
            </w:pPr>
            <w:r w:rsidRPr="00FA4479">
              <w:rPr>
                <w:spacing w:val="-4"/>
              </w:rPr>
              <w:t>Een tussenliggende overheidslaag die niet het hele land bestrijkt, maar beschikt over een gezagsgebied waarbinnen zich meerdere lokale overheidsgebieden bevinden. Hierbij inbegrepen zijn (1) alle overheidsorganisaties en -instellingen die worden beheerd op staats- of regionaal niveau en die kunnen zijn aangeduid als: regio</w:t>
            </w:r>
            <w:r w:rsidR="00FA4479" w:rsidRPr="00FA4479">
              <w:rPr>
                <w:spacing w:val="-4"/>
              </w:rPr>
              <w:t>’</w:t>
            </w:r>
            <w:r w:rsidRPr="00FA4479">
              <w:rPr>
                <w:spacing w:val="-4"/>
              </w:rPr>
              <w:t>s, departementen, staten, deelstaten, county</w:t>
            </w:r>
            <w:r w:rsidR="00FA4479" w:rsidRPr="00FA4479">
              <w:rPr>
                <w:spacing w:val="-4"/>
              </w:rPr>
              <w:t>’</w:t>
            </w:r>
            <w:r w:rsidRPr="00FA4479">
              <w:rPr>
                <w:spacing w:val="-4"/>
              </w:rPr>
              <w:t>s en provincies; en (2) alle departementen, parlementaire lichamen, regulerende autoriteiten en gerechtelijke lichamen met de bevoegdheid tot het maken of toepassen van wetgeving in de betreffende regio</w:t>
            </w:r>
            <w:r w:rsidR="00FA4479" w:rsidRPr="00FA4479">
              <w:rPr>
                <w:spacing w:val="-4"/>
              </w:rPr>
              <w:t>’</w:t>
            </w:r>
            <w:r w:rsidRPr="00FA4479">
              <w:rPr>
                <w:spacing w:val="-4"/>
              </w:rPr>
              <w:t>s, departementen, staten, deelstaten, county</w:t>
            </w:r>
            <w:r w:rsidR="00FA4479" w:rsidRPr="00FA4479">
              <w:rPr>
                <w:spacing w:val="-4"/>
              </w:rPr>
              <w:t>’</w:t>
            </w:r>
            <w:r w:rsidRPr="00FA4479">
              <w:rPr>
                <w:spacing w:val="-4"/>
              </w:rPr>
              <w:t>s of provincies.</w:t>
            </w:r>
          </w:p>
        </w:tc>
      </w:tr>
      <w:tr w:rsidR="00CF4E9C" w:rsidRPr="00883E16" w:rsidTr="00FA4479">
        <w:trPr>
          <w:cantSplit/>
          <w:trHeight w:val="1441"/>
          <w:jc w:val="center"/>
        </w:trPr>
        <w:tc>
          <w:tcPr>
            <w:tcW w:w="3403" w:type="dxa"/>
            <w:gridSpan w:val="2"/>
            <w:vAlign w:val="center"/>
          </w:tcPr>
          <w:p w:rsidR="00CF4E9C" w:rsidRPr="00883E16" w:rsidRDefault="00CF4E9C" w:rsidP="00883E16">
            <w:pPr>
              <w:spacing w:before="120" w:after="120"/>
              <w:jc w:val="left"/>
              <w:rPr>
                <w:b/>
                <w:bCs/>
              </w:rPr>
            </w:pPr>
            <w:r>
              <w:rPr>
                <w:b/>
                <w:bCs/>
              </w:rPr>
              <w:t>D. Plaatselijk/Gemeentelijk</w:t>
            </w:r>
          </w:p>
        </w:tc>
        <w:tc>
          <w:tcPr>
            <w:tcW w:w="5626" w:type="dxa"/>
            <w:vAlign w:val="center"/>
          </w:tcPr>
          <w:p w:rsidR="00CF4E9C" w:rsidRPr="00FA4479" w:rsidRDefault="00CF4E9C" w:rsidP="00883E16">
            <w:pPr>
              <w:spacing w:before="120" w:after="120"/>
              <w:rPr>
                <w:spacing w:val="-4"/>
              </w:rPr>
            </w:pPr>
            <w:r w:rsidRPr="00FA4479">
              <w:rPr>
                <w:spacing w:val="-4"/>
              </w:rPr>
              <w:t>Het laagste overheidsniveau en het corresponderende bestuur. Hierbij inbegrepen zijn alle overheidsorganisaties en –instellingen die worden beheerd op het niveau van stad, plaats, district, regentschap, gemeente, dorp, deelgemeente, woongemeenschap en wijk, (bijvoorbeeld recreatie, vuilnisophaaldiensten, brandweer, plaatselijke dienstverlening en de implementatie van bepaalde nationale diensten).</w:t>
            </w:r>
          </w:p>
        </w:tc>
      </w:tr>
      <w:tr w:rsidR="00CF4E9C" w:rsidRPr="00883E16" w:rsidTr="00FA4479">
        <w:trPr>
          <w:cantSplit/>
          <w:trHeight w:val="858"/>
          <w:jc w:val="center"/>
        </w:trPr>
        <w:tc>
          <w:tcPr>
            <w:tcW w:w="3403" w:type="dxa"/>
            <w:gridSpan w:val="2"/>
            <w:vAlign w:val="center"/>
          </w:tcPr>
          <w:p w:rsidR="00CF4E9C" w:rsidRPr="00883E16" w:rsidRDefault="00CF4E9C" w:rsidP="00883E16">
            <w:pPr>
              <w:spacing w:before="120" w:after="120"/>
              <w:jc w:val="left"/>
              <w:rPr>
                <w:b/>
                <w:bCs/>
              </w:rPr>
            </w:pPr>
            <w:r>
              <w:rPr>
                <w:b/>
                <w:bCs/>
              </w:rPr>
              <w:t>E. Gezondheidszorg</w:t>
            </w:r>
          </w:p>
        </w:tc>
        <w:tc>
          <w:tcPr>
            <w:tcW w:w="5626" w:type="dxa"/>
            <w:vAlign w:val="center"/>
          </w:tcPr>
          <w:p w:rsidR="00CF4E9C" w:rsidRPr="00883E16" w:rsidRDefault="00CF4E9C" w:rsidP="00600336">
            <w:pPr>
              <w:spacing w:before="120" w:after="120"/>
            </w:pPr>
            <w:r>
              <w:t>Alle overheidsorganisaties en –instellingen die diensten in de</w:t>
            </w:r>
            <w:r w:rsidR="00FA4479">
              <w:t> </w:t>
            </w:r>
            <w:r>
              <w:t>gezondheidszorg alsmede zorgdekking bieden, het</w:t>
            </w:r>
            <w:r w:rsidR="00600336">
              <w:t> </w:t>
            </w:r>
            <w:r>
              <w:t>gezondheidszorgbeleid voor een nationale staat of land bepalen of toepassen, de financiële middelen leveren voor diensten in de gezondheidszorg en zorgdekking, of een regulerende rol vervullen op het gebied van diensten in de gezondheidszorg en zorgdekking.</w:t>
            </w:r>
          </w:p>
        </w:tc>
      </w:tr>
      <w:tr w:rsidR="00CF4E9C" w:rsidRPr="00883E16" w:rsidTr="00FA4479">
        <w:trPr>
          <w:cantSplit/>
          <w:jc w:val="center"/>
        </w:trPr>
        <w:tc>
          <w:tcPr>
            <w:tcW w:w="3296" w:type="dxa"/>
            <w:vAlign w:val="center"/>
          </w:tcPr>
          <w:p w:rsidR="00CF4E9C" w:rsidRPr="00FA4479" w:rsidRDefault="00CF4E9C" w:rsidP="00883E16">
            <w:pPr>
              <w:spacing w:before="120" w:after="120"/>
              <w:jc w:val="left"/>
              <w:rPr>
                <w:b/>
                <w:bCs/>
                <w:spacing w:val="-4"/>
              </w:rPr>
            </w:pPr>
            <w:r w:rsidRPr="00FA4479">
              <w:rPr>
                <w:b/>
                <w:bCs/>
                <w:spacing w:val="-4"/>
              </w:rPr>
              <w:lastRenderedPageBreak/>
              <w:t>F. Overige overheidsorganisaties</w:t>
            </w:r>
          </w:p>
        </w:tc>
        <w:tc>
          <w:tcPr>
            <w:tcW w:w="5733" w:type="dxa"/>
            <w:gridSpan w:val="2"/>
            <w:vAlign w:val="center"/>
          </w:tcPr>
          <w:p w:rsidR="00CF4E9C" w:rsidRPr="00FA4479" w:rsidRDefault="00CF4E9C" w:rsidP="00883E16">
            <w:pPr>
              <w:spacing w:before="120" w:after="120"/>
              <w:rPr>
                <w:spacing w:val="-4"/>
              </w:rPr>
            </w:pPr>
            <w:r w:rsidRPr="00FA4479">
              <w:rPr>
                <w:spacing w:val="-4"/>
              </w:rPr>
              <w:t>Organisaties volledige verantwoordelijkheid verschuldigd zijn jegens, en uiteindelijk onder bestuur staan van de overheid van een nationale staat.</w:t>
            </w:r>
          </w:p>
          <w:p w:rsidR="00AA5A57" w:rsidRPr="00FA4479" w:rsidRDefault="00AA5A57" w:rsidP="00883E16">
            <w:pPr>
              <w:spacing w:after="120"/>
              <w:rPr>
                <w:spacing w:val="-4"/>
              </w:rPr>
            </w:pPr>
            <w:r w:rsidRPr="00FA4479">
              <w:rPr>
                <w:spacing w:val="-4"/>
              </w:rPr>
              <w:t>Organisaties die zijn opgericht door een wetgevende instantie voor de uitvoering van een publiek doel zoals beschreven in de relevante oprichtingswetgeving of de statuten/doelstellingen van de organisatie (bijvoorbeeld statutaire raden, gemeentelijke organisaties en onderzoek</w:t>
            </w:r>
            <w:r w:rsidR="00600336">
              <w:rPr>
                <w:spacing w:val="-4"/>
              </w:rPr>
              <w:t>sinstellingen van de overheid).</w:t>
            </w:r>
          </w:p>
        </w:tc>
      </w:tr>
    </w:tbl>
    <w:p w:rsidR="00CF4E9C" w:rsidRPr="00883E16" w:rsidRDefault="00CF4E9C" w:rsidP="00883E16">
      <w:r>
        <w:t>Indien een organisatie in een van de bovenstaande categorieën valt en een winstoogmerk heeft, gelden de volgende aanvullende criteria om te bepalen of een organisatie wel of niet voldoet aan de voorwaarden voor een bevoegde entiteit:</w:t>
      </w:r>
    </w:p>
    <w:p w:rsidR="00CF4E9C" w:rsidRPr="00883E16" w:rsidRDefault="00CF4E9C" w:rsidP="00883E16">
      <w:pPr>
        <w:pStyle w:val="ListParagraph"/>
        <w:numPr>
          <w:ilvl w:val="0"/>
          <w:numId w:val="1"/>
        </w:numPr>
        <w:ind w:left="1080"/>
        <w:contextualSpacing w:val="0"/>
      </w:pPr>
      <w:r>
        <w:t>Gaan de opbrengsten/winsten volledig naar de overheid (of gaan ze ook naar particuliere aandeelhouders)?</w:t>
      </w:r>
    </w:p>
    <w:p w:rsidR="00CF4E9C" w:rsidRPr="00883E16" w:rsidRDefault="00CF4E9C" w:rsidP="00883E16">
      <w:pPr>
        <w:pStyle w:val="ListParagraph"/>
        <w:numPr>
          <w:ilvl w:val="0"/>
          <w:numId w:val="1"/>
        </w:numPr>
        <w:ind w:left="1080"/>
        <w:contextualSpacing w:val="0"/>
      </w:pPr>
      <w:r>
        <w:t>Is de betreffende organisatie vrijgesteld van vennootschapsbelasting?</w:t>
      </w:r>
    </w:p>
    <w:p w:rsidR="00CF4E9C" w:rsidRPr="00883E16" w:rsidRDefault="00CF4E9C" w:rsidP="00883E16">
      <w:pPr>
        <w:pStyle w:val="ListParagraph"/>
        <w:numPr>
          <w:ilvl w:val="0"/>
          <w:numId w:val="1"/>
        </w:numPr>
        <w:ind w:left="1080"/>
        <w:contextualSpacing w:val="0"/>
      </w:pPr>
      <w:r>
        <w:t>Wordt de organisatie voor meer dan 50% gefinancierd door de overheid (dat wil zeggen, verkrijgt de organisatie minder dan 50% van haar geldelijke middelen uit commerciële activiteiten)?</w:t>
      </w:r>
    </w:p>
    <w:p w:rsidR="00CF4E9C" w:rsidRPr="00883E16" w:rsidRDefault="00CF4E9C" w:rsidP="00883E16">
      <w:r>
        <w:t>Indien het antwoord op al deze vragen “ja” is, voldoet de organisatie aan de voorwaarden voor een bevoegde entiteit. Indien het antwoord op een of meer van deze vragen “nee” is, voldoet de organisatie niet aan de voorwaarden voor een bevoegde entiteit. In het algemeen voldoen vennootschappen die het bezit zijn van de overheid, ondernemingen die het eigendom zijn van de staat en organisaties die het bezit zijn van de overheid (al dan ingeschreven als rechtspersoon) die commerciële activiteiten ontplooien (bijvoorbeeld telecommunicatie, bankieren, transport en dergelijke) niet aan de voorwaar</w:t>
      </w:r>
      <w:r w:rsidR="00600336">
        <w:t>den voor een bevoegde entiteit.</w:t>
      </w:r>
    </w:p>
    <w:p w:rsidR="00CF4E9C" w:rsidRPr="00883E16" w:rsidRDefault="00CF4E9C" w:rsidP="00883E16">
      <w:r>
        <w:t>Indien de overheid van een land een lijst publiceert van organisaties die tot de publieke sector worden gerekend, dienen deze organisaties tevens te voldoen aan de criteria die in deze definitie worden uiteengezet om te voldoen aan de voorwaarden</w:t>
      </w:r>
      <w:r w:rsidR="00600336">
        <w:t xml:space="preserve"> voor een bevoegde organisatie.</w:t>
      </w:r>
    </w:p>
    <w:p w:rsidR="00E24334" w:rsidRPr="00883E16" w:rsidRDefault="00E24334" w:rsidP="00883E16">
      <w:r>
        <w:t>Indien een organisatie de status van bevoegde overheidsentiteit kwijtraakt ondertekening van een licentieovereenkomst, mag de organisatie de exemplaren waarvoor de organisatie over een licentie beschikt blijven gebruiken, maar mag de organisatie geen nieuwe bestellingen verrichten voor Licenties in het kader van de Microsoft Overheid Licentie-programma</w:t>
      </w:r>
      <w:r w:rsidR="00FA4479">
        <w:t>’</w:t>
      </w:r>
      <w:r w:rsidR="00600336">
        <w:t>s.</w:t>
      </w:r>
    </w:p>
    <w:p w:rsidR="00F9352D" w:rsidRPr="00883E16" w:rsidRDefault="00A561A9" w:rsidP="000A6499">
      <w:bookmarkStart w:id="1" w:name="OLE_LINK1"/>
      <w:bookmarkStart w:id="2" w:name="OLE_LINK2"/>
      <w:r>
        <w:t>Microsoft biedt overheidsprijzen aan in aanmerking komende organisaties in de publieke sector (zoals</w:t>
      </w:r>
      <w:r w:rsidR="00600336">
        <w:t> </w:t>
      </w:r>
      <w:r>
        <w:t>hierbov</w:t>
      </w:r>
      <w:r w:rsidR="00E74846">
        <w:t>en gedefinieerd en beschreven).</w:t>
      </w:r>
      <w:r>
        <w:t xml:space="preserve"> Behoudens dergelijke aanvullende kwalificatievereisten zoals uiteengezet in een bepaalde volume licensing-overeenkomst, kwalificeren in aanmerking komende organisaties zich voor (1) prijsniveau D in het kader van de volume licensing-programma</w:t>
      </w:r>
      <w:r w:rsidR="00FA4479">
        <w:t>’</w:t>
      </w:r>
      <w:r>
        <w:t>s Enterprise, Enterprise Subscription, Select of Select Plus of (2) andere kortingen die mogelijk beschikbaar zijn in het kader van andere volume licensing-programma</w:t>
      </w:r>
      <w:r w:rsidR="00FA4479">
        <w:t>’</w:t>
      </w:r>
      <w:r>
        <w:t>s van Microsoft.</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4FD" w:rsidRDefault="004574FD" w:rsidP="00CF4E9C">
      <w:pPr>
        <w:spacing w:before="0"/>
      </w:pPr>
      <w:r>
        <w:separator/>
      </w:r>
    </w:p>
  </w:endnote>
  <w:endnote w:type="continuationSeparator" w:id="0">
    <w:p w:rsidR="004574FD" w:rsidRDefault="004574FD"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C73" w:rsidRDefault="00470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470C73" w:rsidRPr="00470C73" w:rsidTr="002A0C37">
      <w:trPr>
        <w:jc w:val="center"/>
      </w:trPr>
      <w:tc>
        <w:tcPr>
          <w:tcW w:w="4621" w:type="dxa"/>
          <w:shd w:val="clear" w:color="auto" w:fill="auto"/>
        </w:tcPr>
        <w:p w:rsidR="00470C73" w:rsidRPr="00470C73" w:rsidRDefault="00470C73" w:rsidP="00470C73">
          <w:pPr>
            <w:pStyle w:val="Footer"/>
            <w:rPr>
              <w:rStyle w:val="LogoportDoNotTranslate"/>
              <w:rFonts w:ascii="Arial" w:hAnsi="Arial" w:cs="Arial"/>
              <w:color w:val="auto"/>
              <w:sz w:val="16"/>
              <w:szCs w:val="16"/>
            </w:rPr>
          </w:pPr>
          <w:r w:rsidRPr="00470C73">
            <w:rPr>
              <w:rStyle w:val="LogoportDoNotTranslate"/>
              <w:rFonts w:ascii="Arial" w:hAnsi="Arial" w:cs="Arial"/>
              <w:color w:val="auto"/>
              <w:sz w:val="16"/>
              <w:szCs w:val="16"/>
            </w:rPr>
            <w:t>GovEligibilityDef(EMEA)(DUT)(Nov2014)</w:t>
          </w:r>
        </w:p>
      </w:tc>
      <w:tc>
        <w:tcPr>
          <w:tcW w:w="4622" w:type="dxa"/>
          <w:shd w:val="clear" w:color="auto" w:fill="auto"/>
        </w:tcPr>
        <w:p w:rsidR="00470C73" w:rsidRPr="00470C73" w:rsidRDefault="00470C73" w:rsidP="00470C73">
          <w:pPr>
            <w:pStyle w:val="Footer"/>
            <w:jc w:val="right"/>
            <w:rPr>
              <w:rStyle w:val="LogoportDoNotTranslate"/>
              <w:rFonts w:ascii="Arial" w:hAnsi="Arial" w:cs="Arial"/>
              <w:color w:val="auto"/>
              <w:sz w:val="16"/>
              <w:szCs w:val="16"/>
            </w:rPr>
          </w:pPr>
          <w:r w:rsidRPr="00470C73">
            <w:rPr>
              <w:rStyle w:val="LogoportDoNotTranslate"/>
              <w:rFonts w:ascii="Arial" w:hAnsi="Arial" w:cs="Arial"/>
              <w:color w:val="auto"/>
              <w:sz w:val="16"/>
              <w:szCs w:val="16"/>
            </w:rPr>
            <w:t xml:space="preserve">Page </w:t>
          </w:r>
          <w:r w:rsidRPr="00470C73">
            <w:rPr>
              <w:rStyle w:val="LogoportDoNotTranslate"/>
              <w:rFonts w:ascii="Arial" w:hAnsi="Arial" w:cs="Arial"/>
              <w:color w:val="auto"/>
              <w:sz w:val="16"/>
              <w:szCs w:val="16"/>
            </w:rPr>
            <w:fldChar w:fldCharType="begin"/>
          </w:r>
          <w:r w:rsidRPr="00470C73">
            <w:rPr>
              <w:rStyle w:val="LogoportDoNotTranslate"/>
              <w:rFonts w:ascii="Arial" w:hAnsi="Arial" w:cs="Arial"/>
              <w:color w:val="auto"/>
              <w:sz w:val="16"/>
              <w:szCs w:val="16"/>
            </w:rPr>
            <w:instrText xml:space="preserve"> PAGE  \* MERGEFORMAT </w:instrText>
          </w:r>
          <w:r w:rsidRPr="00470C73">
            <w:rPr>
              <w:rStyle w:val="LogoportDoNotTranslate"/>
              <w:rFonts w:ascii="Arial" w:hAnsi="Arial" w:cs="Arial"/>
              <w:color w:val="auto"/>
              <w:sz w:val="16"/>
              <w:szCs w:val="16"/>
            </w:rPr>
            <w:fldChar w:fldCharType="separate"/>
          </w:r>
          <w:r w:rsidR="00CE4B23">
            <w:rPr>
              <w:rStyle w:val="LogoportDoNotTranslate"/>
              <w:rFonts w:ascii="Arial" w:hAnsi="Arial" w:cs="Arial"/>
              <w:noProof/>
              <w:color w:val="auto"/>
              <w:sz w:val="16"/>
              <w:szCs w:val="16"/>
            </w:rPr>
            <w:t>2</w:t>
          </w:r>
          <w:r w:rsidRPr="00470C73">
            <w:rPr>
              <w:rStyle w:val="LogoportDoNotTranslate"/>
              <w:rFonts w:ascii="Arial" w:hAnsi="Arial" w:cs="Arial"/>
              <w:color w:val="auto"/>
              <w:sz w:val="16"/>
              <w:szCs w:val="16"/>
            </w:rPr>
            <w:fldChar w:fldCharType="end"/>
          </w:r>
          <w:r w:rsidRPr="00470C73">
            <w:rPr>
              <w:rStyle w:val="LogoportDoNotTranslate"/>
              <w:rFonts w:ascii="Arial" w:hAnsi="Arial" w:cs="Arial"/>
              <w:color w:val="auto"/>
              <w:sz w:val="16"/>
              <w:szCs w:val="16"/>
            </w:rPr>
            <w:t xml:space="preserve"> of </w:t>
          </w:r>
          <w:r w:rsidRPr="00470C73">
            <w:rPr>
              <w:rStyle w:val="LogoportDoNotTranslate"/>
              <w:rFonts w:ascii="Arial" w:hAnsi="Arial" w:cs="Arial"/>
              <w:color w:val="auto"/>
              <w:sz w:val="16"/>
              <w:szCs w:val="16"/>
            </w:rPr>
            <w:fldChar w:fldCharType="begin"/>
          </w:r>
          <w:r w:rsidRPr="00470C73">
            <w:rPr>
              <w:rStyle w:val="LogoportDoNotTranslate"/>
              <w:rFonts w:ascii="Arial" w:hAnsi="Arial" w:cs="Arial"/>
              <w:color w:val="auto"/>
              <w:sz w:val="16"/>
              <w:szCs w:val="16"/>
            </w:rPr>
            <w:instrText xml:space="preserve"> NUMPAGES  \* MERGEFORMAT </w:instrText>
          </w:r>
          <w:r w:rsidRPr="00470C73">
            <w:rPr>
              <w:rStyle w:val="LogoportDoNotTranslate"/>
              <w:rFonts w:ascii="Arial" w:hAnsi="Arial" w:cs="Arial"/>
              <w:color w:val="auto"/>
              <w:sz w:val="16"/>
              <w:szCs w:val="16"/>
            </w:rPr>
            <w:fldChar w:fldCharType="separate"/>
          </w:r>
          <w:r w:rsidR="00CE4B23">
            <w:rPr>
              <w:rStyle w:val="LogoportDoNotTranslate"/>
              <w:rFonts w:ascii="Arial" w:hAnsi="Arial" w:cs="Arial"/>
              <w:noProof/>
              <w:color w:val="auto"/>
              <w:sz w:val="16"/>
              <w:szCs w:val="16"/>
            </w:rPr>
            <w:t>2</w:t>
          </w:r>
          <w:r w:rsidRPr="00470C73">
            <w:rPr>
              <w:rStyle w:val="LogoportDoNotTranslate"/>
              <w:rFonts w:ascii="Arial" w:hAnsi="Arial" w:cs="Arial"/>
              <w:color w:val="auto"/>
              <w:sz w:val="16"/>
              <w:szCs w:val="16"/>
            </w:rPr>
            <w:fldChar w:fldCharType="end"/>
          </w:r>
        </w:p>
        <w:p w:rsidR="00470C73" w:rsidRPr="00470C73" w:rsidRDefault="00470C73" w:rsidP="00470C73">
          <w:pPr>
            <w:pStyle w:val="Footer"/>
            <w:jc w:val="right"/>
            <w:rPr>
              <w:rStyle w:val="LogoportDoNotTranslate"/>
              <w:rFonts w:ascii="Arial" w:hAnsi="Arial" w:cs="Arial"/>
              <w:color w:val="auto"/>
              <w:sz w:val="16"/>
              <w:szCs w:val="16"/>
            </w:rPr>
          </w:pPr>
        </w:p>
      </w:tc>
    </w:tr>
  </w:tbl>
  <w:p w:rsidR="00470C73" w:rsidRPr="00470C73" w:rsidRDefault="00470C73" w:rsidP="00470C73">
    <w:pPr>
      <w:pStyle w:val="Footer"/>
      <w:rPr>
        <w:rStyle w:val="LogoportDoNotTranslate"/>
        <w:rFonts w:ascii="Arial" w:hAnsi="Arial" w:cs="Arial"/>
        <w:color w:val="auto"/>
        <w:sz w:val="16"/>
        <w:szCs w:val="20"/>
      </w:rPr>
    </w:pPr>
  </w:p>
  <w:p w:rsidR="0006204C" w:rsidRPr="00470C73" w:rsidRDefault="0006204C" w:rsidP="00470C73">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470C73" w:rsidRPr="00470C73" w:rsidTr="00470C73">
      <w:trPr>
        <w:jc w:val="center"/>
      </w:trPr>
      <w:tc>
        <w:tcPr>
          <w:tcW w:w="4621" w:type="dxa"/>
          <w:shd w:val="clear" w:color="auto" w:fill="auto"/>
        </w:tcPr>
        <w:p w:rsidR="00470C73" w:rsidRPr="00470C73" w:rsidRDefault="00470C73" w:rsidP="00470C73">
          <w:pPr>
            <w:pStyle w:val="Footer"/>
            <w:rPr>
              <w:rStyle w:val="LogoportDoNotTranslate"/>
              <w:rFonts w:ascii="Arial" w:hAnsi="Arial" w:cs="Arial"/>
              <w:color w:val="auto"/>
              <w:sz w:val="16"/>
              <w:szCs w:val="16"/>
            </w:rPr>
          </w:pPr>
          <w:r w:rsidRPr="00470C73">
            <w:rPr>
              <w:rStyle w:val="LogoportDoNotTranslate"/>
              <w:rFonts w:ascii="Arial" w:hAnsi="Arial" w:cs="Arial"/>
              <w:color w:val="auto"/>
              <w:sz w:val="16"/>
              <w:szCs w:val="16"/>
            </w:rPr>
            <w:t>GovEligibilityDef(EMEA)(DUT)(Nov2014)</w:t>
          </w:r>
        </w:p>
      </w:tc>
      <w:tc>
        <w:tcPr>
          <w:tcW w:w="4622" w:type="dxa"/>
          <w:shd w:val="clear" w:color="auto" w:fill="auto"/>
        </w:tcPr>
        <w:p w:rsidR="00470C73" w:rsidRPr="00470C73" w:rsidRDefault="00470C73" w:rsidP="00470C73">
          <w:pPr>
            <w:pStyle w:val="Footer"/>
            <w:jc w:val="right"/>
            <w:rPr>
              <w:rStyle w:val="LogoportDoNotTranslate"/>
              <w:rFonts w:ascii="Arial" w:hAnsi="Arial" w:cs="Arial"/>
              <w:color w:val="auto"/>
              <w:sz w:val="16"/>
              <w:szCs w:val="16"/>
            </w:rPr>
          </w:pPr>
          <w:r w:rsidRPr="00470C73">
            <w:rPr>
              <w:rStyle w:val="LogoportDoNotTranslate"/>
              <w:rFonts w:ascii="Arial" w:hAnsi="Arial" w:cs="Arial"/>
              <w:color w:val="auto"/>
              <w:sz w:val="16"/>
              <w:szCs w:val="16"/>
            </w:rPr>
            <w:t xml:space="preserve">Page </w:t>
          </w:r>
          <w:r w:rsidRPr="00470C73">
            <w:rPr>
              <w:rStyle w:val="LogoportDoNotTranslate"/>
              <w:rFonts w:ascii="Arial" w:hAnsi="Arial" w:cs="Arial"/>
              <w:color w:val="auto"/>
              <w:sz w:val="16"/>
              <w:szCs w:val="16"/>
            </w:rPr>
            <w:fldChar w:fldCharType="begin"/>
          </w:r>
          <w:r w:rsidRPr="00470C73">
            <w:rPr>
              <w:rStyle w:val="LogoportDoNotTranslate"/>
              <w:rFonts w:ascii="Arial" w:hAnsi="Arial" w:cs="Arial"/>
              <w:color w:val="auto"/>
              <w:sz w:val="16"/>
              <w:szCs w:val="16"/>
            </w:rPr>
            <w:instrText xml:space="preserve"> PAGE  \* MERGEFORMAT </w:instrText>
          </w:r>
          <w:r w:rsidRPr="00470C73">
            <w:rPr>
              <w:rStyle w:val="LogoportDoNotTranslate"/>
              <w:rFonts w:ascii="Arial" w:hAnsi="Arial" w:cs="Arial"/>
              <w:color w:val="auto"/>
              <w:sz w:val="16"/>
              <w:szCs w:val="16"/>
            </w:rPr>
            <w:fldChar w:fldCharType="separate"/>
          </w:r>
          <w:r w:rsidR="00CE4B23">
            <w:rPr>
              <w:rStyle w:val="LogoportDoNotTranslate"/>
              <w:rFonts w:ascii="Arial" w:hAnsi="Arial" w:cs="Arial"/>
              <w:noProof/>
              <w:color w:val="auto"/>
              <w:sz w:val="16"/>
              <w:szCs w:val="16"/>
            </w:rPr>
            <w:t>1</w:t>
          </w:r>
          <w:r w:rsidRPr="00470C73">
            <w:rPr>
              <w:rStyle w:val="LogoportDoNotTranslate"/>
              <w:rFonts w:ascii="Arial" w:hAnsi="Arial" w:cs="Arial"/>
              <w:color w:val="auto"/>
              <w:sz w:val="16"/>
              <w:szCs w:val="16"/>
            </w:rPr>
            <w:fldChar w:fldCharType="end"/>
          </w:r>
          <w:r w:rsidRPr="00470C73">
            <w:rPr>
              <w:rStyle w:val="LogoportDoNotTranslate"/>
              <w:rFonts w:ascii="Arial" w:hAnsi="Arial" w:cs="Arial"/>
              <w:color w:val="auto"/>
              <w:sz w:val="16"/>
              <w:szCs w:val="16"/>
            </w:rPr>
            <w:t xml:space="preserve"> of </w:t>
          </w:r>
          <w:r w:rsidRPr="00470C73">
            <w:rPr>
              <w:rStyle w:val="LogoportDoNotTranslate"/>
              <w:rFonts w:ascii="Arial" w:hAnsi="Arial" w:cs="Arial"/>
              <w:color w:val="auto"/>
              <w:sz w:val="16"/>
              <w:szCs w:val="16"/>
            </w:rPr>
            <w:fldChar w:fldCharType="begin"/>
          </w:r>
          <w:r w:rsidRPr="00470C73">
            <w:rPr>
              <w:rStyle w:val="LogoportDoNotTranslate"/>
              <w:rFonts w:ascii="Arial" w:hAnsi="Arial" w:cs="Arial"/>
              <w:color w:val="auto"/>
              <w:sz w:val="16"/>
              <w:szCs w:val="16"/>
            </w:rPr>
            <w:instrText xml:space="preserve"> NUMPAGES  \* MERGEFORMAT </w:instrText>
          </w:r>
          <w:r w:rsidRPr="00470C73">
            <w:rPr>
              <w:rStyle w:val="LogoportDoNotTranslate"/>
              <w:rFonts w:ascii="Arial" w:hAnsi="Arial" w:cs="Arial"/>
              <w:color w:val="auto"/>
              <w:sz w:val="16"/>
              <w:szCs w:val="16"/>
            </w:rPr>
            <w:fldChar w:fldCharType="separate"/>
          </w:r>
          <w:r w:rsidR="00CE4B23">
            <w:rPr>
              <w:rStyle w:val="LogoportDoNotTranslate"/>
              <w:rFonts w:ascii="Arial" w:hAnsi="Arial" w:cs="Arial"/>
              <w:noProof/>
              <w:color w:val="auto"/>
              <w:sz w:val="16"/>
              <w:szCs w:val="16"/>
            </w:rPr>
            <w:t>2</w:t>
          </w:r>
          <w:r w:rsidRPr="00470C73">
            <w:rPr>
              <w:rStyle w:val="LogoportDoNotTranslate"/>
              <w:rFonts w:ascii="Arial" w:hAnsi="Arial" w:cs="Arial"/>
              <w:color w:val="auto"/>
              <w:sz w:val="16"/>
              <w:szCs w:val="16"/>
            </w:rPr>
            <w:fldChar w:fldCharType="end"/>
          </w:r>
        </w:p>
        <w:p w:rsidR="00470C73" w:rsidRPr="00470C73" w:rsidRDefault="00470C73" w:rsidP="00470C73">
          <w:pPr>
            <w:pStyle w:val="Footer"/>
            <w:jc w:val="right"/>
            <w:rPr>
              <w:rStyle w:val="LogoportDoNotTranslate"/>
              <w:rFonts w:ascii="Arial" w:hAnsi="Arial" w:cs="Arial"/>
              <w:color w:val="auto"/>
              <w:sz w:val="16"/>
              <w:szCs w:val="16"/>
            </w:rPr>
          </w:pPr>
        </w:p>
      </w:tc>
    </w:tr>
  </w:tbl>
  <w:p w:rsidR="005D37CF" w:rsidRPr="00470C73" w:rsidRDefault="005D37CF" w:rsidP="00470C73">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4FD" w:rsidRDefault="004574FD" w:rsidP="00CF4E9C">
      <w:pPr>
        <w:spacing w:before="0"/>
      </w:pPr>
      <w:r>
        <w:separator/>
      </w:r>
    </w:p>
  </w:footnote>
  <w:footnote w:type="continuationSeparator" w:id="0">
    <w:p w:rsidR="004574FD" w:rsidRDefault="004574FD"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CE4B2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CE4B2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CE4B23"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14:anchorId="6B8DE24B" wp14:editId="3D2F4697">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829B7"/>
    <w:rsid w:val="000A6499"/>
    <w:rsid w:val="000B676D"/>
    <w:rsid w:val="000E2821"/>
    <w:rsid w:val="000E4986"/>
    <w:rsid w:val="001263E5"/>
    <w:rsid w:val="00165890"/>
    <w:rsid w:val="0017783A"/>
    <w:rsid w:val="001A4EAB"/>
    <w:rsid w:val="002034A1"/>
    <w:rsid w:val="00254540"/>
    <w:rsid w:val="002B1126"/>
    <w:rsid w:val="002C7665"/>
    <w:rsid w:val="002F2434"/>
    <w:rsid w:val="00305443"/>
    <w:rsid w:val="00361066"/>
    <w:rsid w:val="00380578"/>
    <w:rsid w:val="00387A64"/>
    <w:rsid w:val="003A74D8"/>
    <w:rsid w:val="003B6DC6"/>
    <w:rsid w:val="0042245E"/>
    <w:rsid w:val="004574FD"/>
    <w:rsid w:val="00470C73"/>
    <w:rsid w:val="004735D0"/>
    <w:rsid w:val="00493CEC"/>
    <w:rsid w:val="004A701B"/>
    <w:rsid w:val="004B6ADE"/>
    <w:rsid w:val="005505EF"/>
    <w:rsid w:val="00590119"/>
    <w:rsid w:val="005D37CF"/>
    <w:rsid w:val="005D760D"/>
    <w:rsid w:val="00600336"/>
    <w:rsid w:val="0064711A"/>
    <w:rsid w:val="006F214E"/>
    <w:rsid w:val="007036CD"/>
    <w:rsid w:val="007C13AD"/>
    <w:rsid w:val="007E1AD7"/>
    <w:rsid w:val="007E463F"/>
    <w:rsid w:val="00810E3F"/>
    <w:rsid w:val="00814D01"/>
    <w:rsid w:val="00837C81"/>
    <w:rsid w:val="00845DF2"/>
    <w:rsid w:val="0084628C"/>
    <w:rsid w:val="0084691D"/>
    <w:rsid w:val="00857479"/>
    <w:rsid w:val="00883E16"/>
    <w:rsid w:val="008A327A"/>
    <w:rsid w:val="008D739F"/>
    <w:rsid w:val="00921E07"/>
    <w:rsid w:val="00962F52"/>
    <w:rsid w:val="00997BA6"/>
    <w:rsid w:val="009B1C45"/>
    <w:rsid w:val="009B4A1E"/>
    <w:rsid w:val="009E4D3C"/>
    <w:rsid w:val="009F6773"/>
    <w:rsid w:val="00A00760"/>
    <w:rsid w:val="00A12728"/>
    <w:rsid w:val="00A561A9"/>
    <w:rsid w:val="00A74B65"/>
    <w:rsid w:val="00AA2506"/>
    <w:rsid w:val="00AA5A57"/>
    <w:rsid w:val="00AF0183"/>
    <w:rsid w:val="00AF2DB2"/>
    <w:rsid w:val="00BB2686"/>
    <w:rsid w:val="00BE57AD"/>
    <w:rsid w:val="00BF7180"/>
    <w:rsid w:val="00C71871"/>
    <w:rsid w:val="00CC305F"/>
    <w:rsid w:val="00CD518D"/>
    <w:rsid w:val="00CD6F8A"/>
    <w:rsid w:val="00CE4B23"/>
    <w:rsid w:val="00CF4E9C"/>
    <w:rsid w:val="00D164EA"/>
    <w:rsid w:val="00D47475"/>
    <w:rsid w:val="00D760D9"/>
    <w:rsid w:val="00D767E6"/>
    <w:rsid w:val="00DB0E94"/>
    <w:rsid w:val="00E02027"/>
    <w:rsid w:val="00E17EAA"/>
    <w:rsid w:val="00E223A5"/>
    <w:rsid w:val="00E24334"/>
    <w:rsid w:val="00E74846"/>
    <w:rsid w:val="00E74F51"/>
    <w:rsid w:val="00E81596"/>
    <w:rsid w:val="00EE1A7E"/>
    <w:rsid w:val="00F24527"/>
    <w:rsid w:val="00F90738"/>
    <w:rsid w:val="00F9234D"/>
    <w:rsid w:val="00F9352D"/>
    <w:rsid w:val="00F93BB4"/>
    <w:rsid w:val="00F9695A"/>
    <w:rsid w:val="00FA3838"/>
    <w:rsid w:val="00FA4479"/>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5AE791C-8EDB-4972-80A8-CAAE023CE89B}"/>
  <w:documentProtection w:edit="forms" w:enforcement="true" w:cryptProviderType="rsaFull" w:cryptAlgorithmClass="hash" w:cryptAlgorithmType="typeAny" w:cryptAlgorithmSid="4" w:cryptSpinCount="50000" w:hash="P2dr5MGwldu2iWw5BSSI1ugMmtk=" w:salt="8AqR3HkrUHmry7ANaeMLR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nl-NL" w:eastAsia="nl-NL" w:bidi="nl-NL"/>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39</cp:revision>
  <cp:lastPrinted>2014-09-29T16:56:00Z</cp:lastPrinted>
  <dcterms:created xsi:type="dcterms:W3CDTF">2014-09-05T03:56:00Z</dcterms:created>
  <dcterms:modified xsi:type="dcterms:W3CDTF">2014-10-07T18:26:00Z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