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882509" w:rsidRDefault="00CF4E9C" w:rsidP="00BB2686">
      <w:pPr>
        <w:spacing w:before="240"/>
        <w:jc w:val="left"/>
        <w:rPr>
          <w:sz w:val="36"/>
          <w:szCs w:val="36"/>
        </w:rPr>
        <w:sectPr w:rsidR="00BB2686" w:rsidRPr="00882509"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882509">
        <w:rPr>
          <w:sz w:val="36"/>
          <w:szCs w:val="36"/>
        </w:rPr>
        <w:t>Microsofti definitsioon riigiasutuse sobilikkusele (EMEA)</w:t>
      </w:r>
    </w:p>
    <w:p w:rsidR="00CF4E9C" w:rsidRPr="00882509" w:rsidRDefault="002B1126" w:rsidP="00883E16">
      <w:pPr>
        <w:spacing w:before="360" w:after="120"/>
      </w:pPr>
      <w:r w:rsidRPr="00882509">
        <w:lastRenderedPageBreak/>
        <w:t>Avaliku sektori organisatsioonid, mis kuuluvad allpool määratletud ja kirjeldatud kategooriatesse või</w:t>
      </w:r>
      <w:r w:rsidR="003951B9" w:rsidRPr="00882509">
        <w:t> </w:t>
      </w:r>
      <w:r w:rsidRPr="00882509">
        <w:t>kriteeriumite alla, võivad osaleda spetsiaalselt riigiasutustele mõeldud Microsofti hulgilitsentsimise programmides („sobilikud üksused</w:t>
      </w:r>
      <w:r w:rsidR="00322C34" w:rsidRPr="00882509">
        <w:t>“</w:t>
      </w:r>
      <w:r w:rsidRPr="00882509">
        <w:t>). „Sobilik üksus</w:t>
      </w:r>
      <w:r w:rsidR="00322C34" w:rsidRPr="00882509">
        <w:t>“</w:t>
      </w:r>
      <w:r w:rsidRPr="00882509">
        <w:t xml:space="preserve"> tähendab mis tahes organisatsiooni, mis</w:t>
      </w:r>
      <w:r w:rsidR="003951B9" w:rsidRPr="00882509">
        <w:t> </w:t>
      </w:r>
      <w:r w:rsidRPr="00882509">
        <w:t>ei</w:t>
      </w:r>
      <w:r w:rsidR="00E26476" w:rsidRPr="00882509">
        <w:t> </w:t>
      </w:r>
      <w:r w:rsidRPr="00882509">
        <w:t>tegutse kasumi eesmärgil ja liigitub ühte järgmistest kategooriatest.</w:t>
      </w:r>
    </w:p>
    <w:tbl>
      <w:tblPr>
        <w:tblStyle w:val="TableGrid"/>
        <w:tblW w:w="9029" w:type="dxa"/>
        <w:jc w:val="center"/>
        <w:tblLook w:val="04A0" w:firstRow="1" w:lastRow="0" w:firstColumn="1" w:lastColumn="0" w:noHBand="0" w:noVBand="1"/>
      </w:tblPr>
      <w:tblGrid>
        <w:gridCol w:w="2573"/>
        <w:gridCol w:w="6456"/>
      </w:tblGrid>
      <w:tr w:rsidR="00CF4E9C" w:rsidRPr="00882509" w:rsidTr="00165890">
        <w:trPr>
          <w:cantSplit/>
          <w:tblHeader/>
          <w:jc w:val="center"/>
        </w:trPr>
        <w:tc>
          <w:tcPr>
            <w:tcW w:w="9029" w:type="dxa"/>
            <w:gridSpan w:val="2"/>
            <w:shd w:val="clear" w:color="auto" w:fill="000000" w:themeFill="text1"/>
          </w:tcPr>
          <w:p w:rsidR="00CF4E9C" w:rsidRPr="00882509" w:rsidRDefault="00CF4E9C" w:rsidP="00883E16">
            <w:pPr>
              <w:keepNext/>
              <w:spacing w:before="120" w:after="120"/>
              <w:rPr>
                <w:b/>
                <w:bCs/>
                <w:color w:val="FFFFFF" w:themeColor="background1"/>
              </w:rPr>
            </w:pPr>
            <w:r w:rsidRPr="00882509">
              <w:rPr>
                <w:b/>
                <w:bCs/>
                <w:color w:val="FFFFFF" w:themeColor="background1"/>
              </w:rPr>
              <w:t>Kategooriad</w:t>
            </w:r>
          </w:p>
        </w:tc>
      </w:tr>
      <w:tr w:rsidR="00CF4E9C" w:rsidRPr="00882509" w:rsidTr="00243056">
        <w:trPr>
          <w:cantSplit/>
          <w:tblHeader/>
          <w:jc w:val="center"/>
        </w:trPr>
        <w:tc>
          <w:tcPr>
            <w:tcW w:w="2466" w:type="dxa"/>
            <w:vAlign w:val="center"/>
          </w:tcPr>
          <w:p w:rsidR="00CF4E9C" w:rsidRPr="00882509" w:rsidRDefault="00CF4E9C" w:rsidP="00883E16">
            <w:pPr>
              <w:spacing w:before="120" w:after="120"/>
              <w:jc w:val="left"/>
              <w:rPr>
                <w:b/>
                <w:bCs/>
              </w:rPr>
            </w:pPr>
            <w:r w:rsidRPr="00882509">
              <w:rPr>
                <w:b/>
                <w:bCs/>
              </w:rPr>
              <w:t>A. Riigiülene</w:t>
            </w:r>
          </w:p>
        </w:tc>
        <w:tc>
          <w:tcPr>
            <w:tcW w:w="6563" w:type="dxa"/>
            <w:vAlign w:val="center"/>
          </w:tcPr>
          <w:p w:rsidR="00CF4E9C" w:rsidRPr="00882509" w:rsidRDefault="00CF4E9C" w:rsidP="00883E16">
            <w:pPr>
              <w:spacing w:before="120" w:after="120"/>
            </w:pPr>
            <w:r w:rsidRPr="00882509">
              <w:t>Kõik organisatsioonid/institutsioonid, millel on paljude riiklike valitsuste suhtes märgatav regulatiivne või seadusandlik roll.</w:t>
            </w:r>
          </w:p>
        </w:tc>
      </w:tr>
      <w:tr w:rsidR="00CF4E9C" w:rsidRPr="00882509" w:rsidTr="00243056">
        <w:trPr>
          <w:cantSplit/>
          <w:tblHeader/>
          <w:jc w:val="center"/>
        </w:trPr>
        <w:tc>
          <w:tcPr>
            <w:tcW w:w="2466" w:type="dxa"/>
            <w:vAlign w:val="center"/>
          </w:tcPr>
          <w:p w:rsidR="00CF4E9C" w:rsidRPr="00882509" w:rsidRDefault="00CF4E9C" w:rsidP="00883E16">
            <w:pPr>
              <w:spacing w:before="120" w:after="120"/>
              <w:jc w:val="left"/>
              <w:rPr>
                <w:b/>
                <w:bCs/>
              </w:rPr>
            </w:pPr>
            <w:r w:rsidRPr="00882509">
              <w:rPr>
                <w:b/>
                <w:bCs/>
              </w:rPr>
              <w:t>B. Riiklik/föderaalne</w:t>
            </w:r>
          </w:p>
        </w:tc>
        <w:tc>
          <w:tcPr>
            <w:tcW w:w="6563" w:type="dxa"/>
            <w:vAlign w:val="center"/>
          </w:tcPr>
          <w:p w:rsidR="00CF4E9C" w:rsidRPr="00882509" w:rsidRDefault="00CF4E9C" w:rsidP="00E26476">
            <w:pPr>
              <w:spacing w:before="120" w:after="120"/>
            </w:pPr>
            <w:r w:rsidRPr="00882509">
              <w:t>Kõik valitsusorganisatsioonid/-institutsioonid, mida juhitakse föderaalsel/riiklikul tasandil ja millele on antud õigus valitseda rahvusriigis või riigis. See hõlmab parlamentaarseid organeid ja kohtuorganeid, millel on võim seadusi kehtestada või nende põhjal otsuseid langetada.</w:t>
            </w:r>
          </w:p>
        </w:tc>
      </w:tr>
      <w:tr w:rsidR="00CF4E9C" w:rsidRPr="00882509" w:rsidTr="00243056">
        <w:trPr>
          <w:cantSplit/>
          <w:tblHeader/>
          <w:jc w:val="center"/>
        </w:trPr>
        <w:tc>
          <w:tcPr>
            <w:tcW w:w="2466" w:type="dxa"/>
            <w:vAlign w:val="center"/>
          </w:tcPr>
          <w:p w:rsidR="00CF4E9C" w:rsidRPr="00882509" w:rsidRDefault="00CF4E9C" w:rsidP="00243056">
            <w:pPr>
              <w:spacing w:before="120" w:after="120"/>
              <w:jc w:val="left"/>
              <w:rPr>
                <w:b/>
                <w:bCs/>
              </w:rPr>
            </w:pPr>
            <w:r w:rsidRPr="00882509">
              <w:rPr>
                <w:b/>
                <w:bCs/>
              </w:rPr>
              <w:t>C. Regionaalne/</w:t>
            </w:r>
            <w:r w:rsidR="00243056">
              <w:rPr>
                <w:b/>
                <w:bCs/>
              </w:rPr>
              <w:br/>
            </w:r>
            <w:r w:rsidRPr="00882509">
              <w:rPr>
                <w:b/>
                <w:bCs/>
              </w:rPr>
              <w:t>osariiklik/maakondlik</w:t>
            </w:r>
          </w:p>
        </w:tc>
        <w:tc>
          <w:tcPr>
            <w:tcW w:w="6563" w:type="dxa"/>
            <w:vAlign w:val="center"/>
          </w:tcPr>
          <w:p w:rsidR="00CF4E9C" w:rsidRPr="00882509" w:rsidRDefault="00CF4E9C" w:rsidP="00883E16">
            <w:pPr>
              <w:spacing w:before="120" w:after="120"/>
            </w:pPr>
            <w:r w:rsidRPr="00882509">
              <w:t>Vahepealne riigiasutuse haru, mis ei kata tervet riiki, kuid mille valitsusalasse kuuluvad mitmed kohaliku omavalitsuse valdkonnad. See hõlmab (1) kõiki valitsusorganisatsioone/-institutsioone, mida juhitakse osariiklikul/regionaalsel tasandil ja millel võib olla erinevaid nimesid: regioonid, departemangud, osariigid, liidumaad, maakonnad või provintsid; ja (2) kõiki ministeeriume, parlamentaarseid organeid, regulatiivseid ametivõime ja kohtuorganeid, millel on võim selles regioonis, departemangus, osariigis, liidumaal, maakonnas või provintsis seadusi kehtestada või nende põhjal otsuseid langetada.</w:t>
            </w:r>
          </w:p>
        </w:tc>
      </w:tr>
      <w:tr w:rsidR="00CF4E9C" w:rsidRPr="00882509" w:rsidTr="00243056">
        <w:trPr>
          <w:cantSplit/>
          <w:tblHeader/>
          <w:jc w:val="center"/>
        </w:trPr>
        <w:tc>
          <w:tcPr>
            <w:tcW w:w="2466" w:type="dxa"/>
            <w:vAlign w:val="center"/>
          </w:tcPr>
          <w:p w:rsidR="00CF4E9C" w:rsidRPr="00882509" w:rsidRDefault="00CF4E9C" w:rsidP="00883E16">
            <w:pPr>
              <w:spacing w:before="120" w:after="120"/>
              <w:jc w:val="left"/>
              <w:rPr>
                <w:b/>
                <w:bCs/>
              </w:rPr>
            </w:pPr>
            <w:r w:rsidRPr="00882509">
              <w:rPr>
                <w:b/>
                <w:bCs/>
              </w:rPr>
              <w:t>D. Kohalik/munitsipaalne</w:t>
            </w:r>
          </w:p>
        </w:tc>
        <w:tc>
          <w:tcPr>
            <w:tcW w:w="6563" w:type="dxa"/>
            <w:vAlign w:val="center"/>
          </w:tcPr>
          <w:p w:rsidR="00CF4E9C" w:rsidRPr="00882509" w:rsidRDefault="00CF4E9C" w:rsidP="00883E16">
            <w:pPr>
              <w:spacing w:before="120" w:after="120"/>
            </w:pPr>
            <w:r w:rsidRPr="00882509">
              <w:t>Riigiasutuse madalaim tase ja sellega seotud administratsioon. See hõlmab kõiki valitsusorganisatsioone/-institutsioone, mida juhitakse linna, piirkonna, asevalitsuse omavalitsuse, küla, valla, kommuuni ja linnaosa tasemel (nt lõõgastus, jäätmete kogumine, tuletõrje, kohalike teenuste juhtimine ja mõnede riiklike teenuste rakendamine).</w:t>
            </w:r>
          </w:p>
        </w:tc>
      </w:tr>
      <w:tr w:rsidR="00CF4E9C" w:rsidRPr="00882509" w:rsidTr="00243056">
        <w:trPr>
          <w:cantSplit/>
          <w:tblHeader/>
          <w:jc w:val="center"/>
        </w:trPr>
        <w:tc>
          <w:tcPr>
            <w:tcW w:w="2466" w:type="dxa"/>
            <w:vAlign w:val="center"/>
          </w:tcPr>
          <w:p w:rsidR="00CF4E9C" w:rsidRPr="00882509" w:rsidRDefault="00CF4E9C" w:rsidP="00883E16">
            <w:pPr>
              <w:spacing w:before="120" w:after="120"/>
              <w:jc w:val="left"/>
              <w:rPr>
                <w:b/>
                <w:bCs/>
              </w:rPr>
            </w:pPr>
            <w:r w:rsidRPr="00882509">
              <w:rPr>
                <w:b/>
                <w:bCs/>
              </w:rPr>
              <w:t>E. Tervishoid</w:t>
            </w:r>
          </w:p>
        </w:tc>
        <w:tc>
          <w:tcPr>
            <w:tcW w:w="6563" w:type="dxa"/>
            <w:vAlign w:val="center"/>
          </w:tcPr>
          <w:p w:rsidR="00CF4E9C" w:rsidRPr="00882509" w:rsidRDefault="00CF4E9C" w:rsidP="00883E16">
            <w:pPr>
              <w:spacing w:before="120" w:after="120"/>
            </w:pPr>
            <w:r w:rsidRPr="00882509">
              <w:t>Kõik valitsusorganisatsioonid/-institutsioonid, mis pakuvad tervishoiuteenuseid ja -katvust, määravad või langetavad otsuseid tervishoiupoliitika alal rahvusriigis või riigis, rahastavad tervishoiuteenuseid ja -katvust või millel on tervishoiuteenuste ja –katvuse osas regulatiivne roll.</w:t>
            </w:r>
          </w:p>
        </w:tc>
      </w:tr>
      <w:tr w:rsidR="00CF4E9C" w:rsidRPr="00882509" w:rsidTr="00243056">
        <w:trPr>
          <w:cantSplit/>
          <w:tblHeader/>
          <w:jc w:val="center"/>
        </w:trPr>
        <w:tc>
          <w:tcPr>
            <w:tcW w:w="2466" w:type="dxa"/>
            <w:vAlign w:val="center"/>
          </w:tcPr>
          <w:p w:rsidR="00CF4E9C" w:rsidRPr="00882509" w:rsidRDefault="00CF4E9C" w:rsidP="00883E16">
            <w:pPr>
              <w:spacing w:before="120" w:after="120"/>
              <w:jc w:val="left"/>
              <w:rPr>
                <w:b/>
                <w:bCs/>
              </w:rPr>
            </w:pPr>
            <w:r w:rsidRPr="00882509">
              <w:rPr>
                <w:b/>
                <w:bCs/>
              </w:rPr>
              <w:t>F. Muud valitsusorganisatsioonid</w:t>
            </w:r>
          </w:p>
        </w:tc>
        <w:tc>
          <w:tcPr>
            <w:tcW w:w="6563" w:type="dxa"/>
            <w:vAlign w:val="center"/>
          </w:tcPr>
          <w:p w:rsidR="00CF4E9C" w:rsidRPr="00882509" w:rsidRDefault="00CF4E9C" w:rsidP="00883E16">
            <w:pPr>
              <w:spacing w:before="120" w:after="120"/>
            </w:pPr>
            <w:r w:rsidRPr="00882509">
              <w:t>Kõik organisatsioonid, mida kontrollib ainult rahvusvaheliselt tunnustatud Rahvusriigi valitsus ja mis on vastutavad ainult viimase ees.</w:t>
            </w:r>
          </w:p>
          <w:p w:rsidR="00AA5A57" w:rsidRPr="00882509" w:rsidRDefault="00AA5A57" w:rsidP="009F6955">
            <w:pPr>
              <w:spacing w:after="120"/>
            </w:pPr>
            <w:r w:rsidRPr="00882509">
              <w:t>Kõik organisatsioonid, mis on seadusaktidega loodud avalikkuse teenimise eesmärgil, nagu asjakohastes lubavates seadusaktides või organisatsiooni põhikirjas või eesmärkides kirjeldatud (nt</w:t>
            </w:r>
            <w:r w:rsidR="009F6955">
              <w:t> </w:t>
            </w:r>
            <w:r w:rsidRPr="00882509">
              <w:t xml:space="preserve">seadusejärgsed kogud, munitsipaalettevõtted, valitsuse teadusasutused). </w:t>
            </w:r>
          </w:p>
        </w:tc>
      </w:tr>
    </w:tbl>
    <w:p w:rsidR="00CF4E9C" w:rsidRPr="00882509" w:rsidRDefault="00CF4E9C" w:rsidP="00883E16">
      <w:r w:rsidRPr="00882509">
        <w:t>Kui organisatsioon sobib mõnda ülaltoodud kategooriatest ja töötab kasumi saamise eesmärgil, rakendatakse alljärgnevaid kriteeriume, määratledes, kas organisatsioon kvalifitseerub sobilikuks üksuseks.</w:t>
      </w:r>
    </w:p>
    <w:p w:rsidR="00CF4E9C" w:rsidRPr="00882509" w:rsidRDefault="00CF4E9C" w:rsidP="00883E16">
      <w:pPr>
        <w:pStyle w:val="ListParagraph"/>
        <w:numPr>
          <w:ilvl w:val="0"/>
          <w:numId w:val="1"/>
        </w:numPr>
        <w:ind w:left="1080"/>
        <w:contextualSpacing w:val="0"/>
      </w:pPr>
      <w:r w:rsidRPr="00882509">
        <w:t>Kas tulu/kasum läheb ainult riigile (või ka eraaktsionäridele)?</w:t>
      </w:r>
    </w:p>
    <w:p w:rsidR="00CF4E9C" w:rsidRPr="00882509" w:rsidRDefault="00CF4E9C" w:rsidP="00883E16">
      <w:pPr>
        <w:pStyle w:val="ListParagraph"/>
        <w:numPr>
          <w:ilvl w:val="0"/>
          <w:numId w:val="1"/>
        </w:numPr>
        <w:ind w:left="1080"/>
        <w:contextualSpacing w:val="0"/>
      </w:pPr>
      <w:r w:rsidRPr="00882509">
        <w:t>Kas kõnealune organisatsioon on vabastatud ettevõtte tulumaksust?</w:t>
      </w:r>
    </w:p>
    <w:p w:rsidR="00CF4E9C" w:rsidRPr="00882509" w:rsidRDefault="00CF4E9C" w:rsidP="00883E16">
      <w:pPr>
        <w:pStyle w:val="ListParagraph"/>
        <w:numPr>
          <w:ilvl w:val="0"/>
          <w:numId w:val="1"/>
        </w:numPr>
        <w:ind w:left="1080"/>
        <w:contextualSpacing w:val="0"/>
      </w:pPr>
      <w:r w:rsidRPr="00882509">
        <w:lastRenderedPageBreak/>
        <w:t>Kas organisatsiooni rahastab rohkem kui 50% ulatuses riik (st kas seda rahastatakse vähem kui 50% ulatuses äritegevusest)?</w:t>
      </w:r>
    </w:p>
    <w:p w:rsidR="00CF4E9C" w:rsidRPr="00882509" w:rsidRDefault="00CF4E9C" w:rsidP="00883E16">
      <w:r w:rsidRPr="00882509">
        <w:t>Kui vastus kõ</w:t>
      </w:r>
      <w:r w:rsidR="00322C34" w:rsidRPr="00882509">
        <w:t>igile neile küsimustele on „jah“</w:t>
      </w:r>
      <w:r w:rsidRPr="00882509">
        <w:t>, siis kvalifitseerub organisatsioon sobilikuks üksuseks. Kui vastus mõnele ülaltoodud küsimustest on „ei“, siis organisatsioon ei kvalifitseeru sobilikuks üksuseks. Valitsuse omanduses olevad korporatiivsed ettevõtted, riigi omanduses olevad ettevõtted ja valitsuse omanduses olevad organisatsioonid (kas aktsiaseltsiks ühinenud või mitte), mis</w:t>
      </w:r>
      <w:r w:rsidR="00E26476" w:rsidRPr="00882509">
        <w:t> </w:t>
      </w:r>
      <w:r w:rsidRPr="00882509">
        <w:t xml:space="preserve">tegutsevad kommertsaladel (nt telekommunikatsioon, pangandus, transport jne), ei kvalifitseeru sobilikeks üksusteks. </w:t>
      </w:r>
    </w:p>
    <w:p w:rsidR="00CF4E9C" w:rsidRPr="00882509" w:rsidRDefault="00CF4E9C" w:rsidP="00883E16">
      <w:r w:rsidRPr="00882509">
        <w:t xml:space="preserve">Kui riigi Valitsus avaldab avaliku sektori organisatsioonide loendi, peavad need organisatsioonid antud definitsioonis sätestatud kriteeriumidele vastama, et kvalifitseeruda sobilikuks üksuseks. </w:t>
      </w:r>
    </w:p>
    <w:p w:rsidR="00E24334" w:rsidRPr="00882509" w:rsidRDefault="00E24334" w:rsidP="00883E16">
      <w:r w:rsidRPr="00882509">
        <w:t>Kui organisatsioon kaotab litsentsilepingu allkirjastamise järel sobiliku valitsusüksuse staatuse, võib</w:t>
      </w:r>
      <w:r w:rsidR="00E26476" w:rsidRPr="00882509">
        <w:t> </w:t>
      </w:r>
      <w:r w:rsidRPr="00882509">
        <w:t>organisatsioon jätkata nende eksemplaride kasutamist, mis on organisatsioonile litsentsitud, kuid</w:t>
      </w:r>
      <w:r w:rsidR="00E26476" w:rsidRPr="00882509">
        <w:t> </w:t>
      </w:r>
      <w:r w:rsidRPr="00882509">
        <w:t xml:space="preserve">organisatsioon ei saa kava Microsoft Government License raames uusi litsentsitellimusi esitada. </w:t>
      </w:r>
    </w:p>
    <w:p w:rsidR="00F9352D" w:rsidRPr="00882509" w:rsidRDefault="00A561A9" w:rsidP="000A6499">
      <w:bookmarkStart w:id="1" w:name="OLE_LINK1"/>
      <w:bookmarkStart w:id="2" w:name="OLE_LINK2"/>
      <w:r w:rsidRPr="00882509">
        <w:t>Microsoft pakub riigiasutuse hinda sobivatele avaliku sektori organisatsioonidele (nagu määratletud ja kirjeldatud ülalpool). Vastavalt nendele täiendavatele sobivusnõuetel, mis võivad olla kehtestatud kindlas hulgilitsentsilepingus, võidakse sobilikele organisatsioonidele pakkuda (1) hulgilitsentsimise programmide Enterprise, Enterprise Subscription, Select või Select Plus hinnataset D või (2) muid allahindlusi, mis võivad olla saadaval muude Microsofti hulgilitsentsimisprogrammide raames.</w:t>
      </w:r>
      <w:bookmarkEnd w:id="1"/>
      <w:bookmarkEnd w:id="2"/>
    </w:p>
    <w:sectPr w:rsidR="00F9352D" w:rsidRPr="00882509"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A00" w:rsidRDefault="00BA3A00" w:rsidP="00CF4E9C">
      <w:pPr>
        <w:spacing w:before="0"/>
      </w:pPr>
      <w:r>
        <w:separator/>
      </w:r>
    </w:p>
  </w:endnote>
  <w:endnote w:type="continuationSeparator" w:id="0">
    <w:p w:rsidR="00BA3A00" w:rsidRDefault="00BA3A00"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37" w:rsidRDefault="00906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906237" w:rsidRPr="00906237" w:rsidTr="00F3796C">
      <w:trPr>
        <w:jc w:val="center"/>
      </w:trPr>
      <w:tc>
        <w:tcPr>
          <w:tcW w:w="4621" w:type="dxa"/>
          <w:shd w:val="clear" w:color="auto" w:fill="auto"/>
        </w:tcPr>
        <w:p w:rsidR="00906237" w:rsidRPr="00906237" w:rsidRDefault="00906237" w:rsidP="00906237">
          <w:pPr>
            <w:pStyle w:val="Footer"/>
            <w:rPr>
              <w:sz w:val="16"/>
              <w:szCs w:val="16"/>
            </w:rPr>
          </w:pPr>
          <w:r w:rsidRPr="00906237">
            <w:rPr>
              <w:sz w:val="16"/>
              <w:szCs w:val="16"/>
            </w:rPr>
            <w:t>GovEligibilityDef(EMEA)(EST)(Nov2014)</w:t>
          </w:r>
        </w:p>
      </w:tc>
      <w:tc>
        <w:tcPr>
          <w:tcW w:w="4622" w:type="dxa"/>
          <w:shd w:val="clear" w:color="auto" w:fill="auto"/>
        </w:tcPr>
        <w:p w:rsidR="00906237" w:rsidRPr="00906237" w:rsidRDefault="00906237" w:rsidP="00906237">
          <w:pPr>
            <w:pStyle w:val="Footer"/>
            <w:jc w:val="right"/>
            <w:rPr>
              <w:sz w:val="16"/>
              <w:szCs w:val="16"/>
            </w:rPr>
          </w:pPr>
          <w:r w:rsidRPr="00906237">
            <w:rPr>
              <w:sz w:val="16"/>
              <w:szCs w:val="16"/>
            </w:rPr>
            <w:t xml:space="preserve">Page </w:t>
          </w:r>
          <w:r w:rsidRPr="00906237">
            <w:rPr>
              <w:sz w:val="16"/>
              <w:szCs w:val="16"/>
            </w:rPr>
            <w:fldChar w:fldCharType="begin"/>
          </w:r>
          <w:r w:rsidRPr="00906237">
            <w:rPr>
              <w:sz w:val="16"/>
              <w:szCs w:val="16"/>
            </w:rPr>
            <w:instrText xml:space="preserve"> PAGE  \* MERGEFORMAT </w:instrText>
          </w:r>
          <w:r w:rsidRPr="00906237">
            <w:rPr>
              <w:sz w:val="16"/>
              <w:szCs w:val="16"/>
            </w:rPr>
            <w:fldChar w:fldCharType="separate"/>
          </w:r>
          <w:r w:rsidR="007A3883">
            <w:rPr>
              <w:noProof/>
              <w:sz w:val="16"/>
              <w:szCs w:val="16"/>
            </w:rPr>
            <w:t>2</w:t>
          </w:r>
          <w:r w:rsidRPr="00906237">
            <w:rPr>
              <w:sz w:val="16"/>
              <w:szCs w:val="16"/>
            </w:rPr>
            <w:fldChar w:fldCharType="end"/>
          </w:r>
          <w:r w:rsidRPr="00906237">
            <w:rPr>
              <w:sz w:val="16"/>
              <w:szCs w:val="16"/>
            </w:rPr>
            <w:t xml:space="preserve"> of </w:t>
          </w:r>
          <w:r w:rsidRPr="00906237">
            <w:rPr>
              <w:sz w:val="16"/>
              <w:szCs w:val="16"/>
            </w:rPr>
            <w:fldChar w:fldCharType="begin"/>
          </w:r>
          <w:r w:rsidRPr="00906237">
            <w:rPr>
              <w:sz w:val="16"/>
              <w:szCs w:val="16"/>
            </w:rPr>
            <w:instrText xml:space="preserve"> NUMPAGES  \* MERGEFORMAT </w:instrText>
          </w:r>
          <w:r w:rsidRPr="00906237">
            <w:rPr>
              <w:sz w:val="16"/>
              <w:szCs w:val="16"/>
            </w:rPr>
            <w:fldChar w:fldCharType="separate"/>
          </w:r>
          <w:r w:rsidR="007A3883">
            <w:rPr>
              <w:noProof/>
              <w:sz w:val="16"/>
              <w:szCs w:val="16"/>
            </w:rPr>
            <w:t>2</w:t>
          </w:r>
          <w:r w:rsidRPr="00906237">
            <w:rPr>
              <w:sz w:val="16"/>
              <w:szCs w:val="16"/>
            </w:rPr>
            <w:fldChar w:fldCharType="end"/>
          </w:r>
        </w:p>
        <w:p w:rsidR="00906237" w:rsidRPr="00906237" w:rsidRDefault="00906237" w:rsidP="00906237">
          <w:pPr>
            <w:pStyle w:val="Footer"/>
            <w:jc w:val="right"/>
            <w:rPr>
              <w:sz w:val="16"/>
              <w:szCs w:val="16"/>
            </w:rPr>
          </w:pPr>
        </w:p>
      </w:tc>
    </w:tr>
  </w:tbl>
  <w:p w:rsidR="00906237" w:rsidRPr="00906237" w:rsidRDefault="00906237" w:rsidP="00906237">
    <w:pPr>
      <w:pStyle w:val="Footer"/>
      <w:rPr>
        <w:sz w:val="16"/>
      </w:rPr>
    </w:pPr>
  </w:p>
  <w:p w:rsidR="00BA5C4B" w:rsidRPr="00906237" w:rsidRDefault="00BA5C4B" w:rsidP="00906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906237" w:rsidRPr="00906237" w:rsidTr="00906237">
      <w:trPr>
        <w:jc w:val="center"/>
      </w:trPr>
      <w:tc>
        <w:tcPr>
          <w:tcW w:w="4621" w:type="dxa"/>
          <w:shd w:val="clear" w:color="auto" w:fill="auto"/>
        </w:tcPr>
        <w:p w:rsidR="00906237" w:rsidRPr="00906237" w:rsidRDefault="00906237" w:rsidP="00906237">
          <w:pPr>
            <w:pStyle w:val="Footer"/>
            <w:rPr>
              <w:sz w:val="16"/>
              <w:szCs w:val="16"/>
            </w:rPr>
          </w:pPr>
          <w:r w:rsidRPr="00906237">
            <w:rPr>
              <w:sz w:val="16"/>
              <w:szCs w:val="16"/>
            </w:rPr>
            <w:t>GovEligibilityDef(EMEA)(EST)(Nov2014)</w:t>
          </w:r>
        </w:p>
      </w:tc>
      <w:tc>
        <w:tcPr>
          <w:tcW w:w="4622" w:type="dxa"/>
          <w:shd w:val="clear" w:color="auto" w:fill="auto"/>
        </w:tcPr>
        <w:p w:rsidR="00906237" w:rsidRPr="00906237" w:rsidRDefault="00906237" w:rsidP="00906237">
          <w:pPr>
            <w:pStyle w:val="Footer"/>
            <w:jc w:val="right"/>
            <w:rPr>
              <w:sz w:val="16"/>
              <w:szCs w:val="16"/>
            </w:rPr>
          </w:pPr>
          <w:r w:rsidRPr="00906237">
            <w:rPr>
              <w:sz w:val="16"/>
              <w:szCs w:val="16"/>
            </w:rPr>
            <w:t xml:space="preserve">Page </w:t>
          </w:r>
          <w:r w:rsidRPr="00906237">
            <w:rPr>
              <w:sz w:val="16"/>
              <w:szCs w:val="16"/>
            </w:rPr>
            <w:fldChar w:fldCharType="begin"/>
          </w:r>
          <w:r w:rsidRPr="00906237">
            <w:rPr>
              <w:sz w:val="16"/>
              <w:szCs w:val="16"/>
            </w:rPr>
            <w:instrText xml:space="preserve"> PAGE  \* MERGEFORMAT </w:instrText>
          </w:r>
          <w:r w:rsidRPr="00906237">
            <w:rPr>
              <w:sz w:val="16"/>
              <w:szCs w:val="16"/>
            </w:rPr>
            <w:fldChar w:fldCharType="separate"/>
          </w:r>
          <w:r w:rsidR="007A3883">
            <w:rPr>
              <w:noProof/>
              <w:sz w:val="16"/>
              <w:szCs w:val="16"/>
            </w:rPr>
            <w:t>1</w:t>
          </w:r>
          <w:r w:rsidRPr="00906237">
            <w:rPr>
              <w:sz w:val="16"/>
              <w:szCs w:val="16"/>
            </w:rPr>
            <w:fldChar w:fldCharType="end"/>
          </w:r>
          <w:r w:rsidRPr="00906237">
            <w:rPr>
              <w:sz w:val="16"/>
              <w:szCs w:val="16"/>
            </w:rPr>
            <w:t xml:space="preserve"> of </w:t>
          </w:r>
          <w:r w:rsidRPr="00906237">
            <w:rPr>
              <w:sz w:val="16"/>
              <w:szCs w:val="16"/>
            </w:rPr>
            <w:fldChar w:fldCharType="begin"/>
          </w:r>
          <w:r w:rsidRPr="00906237">
            <w:rPr>
              <w:sz w:val="16"/>
              <w:szCs w:val="16"/>
            </w:rPr>
            <w:instrText xml:space="preserve"> NUMPAGES  \* MERGEFORMAT </w:instrText>
          </w:r>
          <w:r w:rsidRPr="00906237">
            <w:rPr>
              <w:sz w:val="16"/>
              <w:szCs w:val="16"/>
            </w:rPr>
            <w:fldChar w:fldCharType="separate"/>
          </w:r>
          <w:r w:rsidR="007A3883">
            <w:rPr>
              <w:noProof/>
              <w:sz w:val="16"/>
              <w:szCs w:val="16"/>
            </w:rPr>
            <w:t>2</w:t>
          </w:r>
          <w:r w:rsidRPr="00906237">
            <w:rPr>
              <w:sz w:val="16"/>
              <w:szCs w:val="16"/>
            </w:rPr>
            <w:fldChar w:fldCharType="end"/>
          </w:r>
        </w:p>
        <w:p w:rsidR="00906237" w:rsidRPr="00906237" w:rsidRDefault="00906237" w:rsidP="00906237">
          <w:pPr>
            <w:pStyle w:val="Footer"/>
            <w:jc w:val="right"/>
            <w:rPr>
              <w:sz w:val="16"/>
              <w:szCs w:val="16"/>
            </w:rPr>
          </w:pPr>
        </w:p>
      </w:tc>
    </w:tr>
  </w:tbl>
  <w:p w:rsidR="00E26476" w:rsidRPr="00906237" w:rsidRDefault="00E26476" w:rsidP="00906237">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A00" w:rsidRDefault="00BA3A00" w:rsidP="00CF4E9C">
      <w:pPr>
        <w:spacing w:before="0"/>
      </w:pPr>
      <w:r>
        <w:separator/>
      </w:r>
    </w:p>
  </w:footnote>
  <w:footnote w:type="continuationSeparator" w:id="0">
    <w:p w:rsidR="00BA3A00" w:rsidRDefault="00BA3A00"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7A388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7A388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7A3883"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7899CE10" wp14:editId="3F83418F">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E2821"/>
    <w:rsid w:val="001263E5"/>
    <w:rsid w:val="00165890"/>
    <w:rsid w:val="0017783A"/>
    <w:rsid w:val="001A4EAB"/>
    <w:rsid w:val="001B6369"/>
    <w:rsid w:val="002034A1"/>
    <w:rsid w:val="00243056"/>
    <w:rsid w:val="00254540"/>
    <w:rsid w:val="002B1126"/>
    <w:rsid w:val="002C7665"/>
    <w:rsid w:val="002D40EC"/>
    <w:rsid w:val="002F2434"/>
    <w:rsid w:val="00305443"/>
    <w:rsid w:val="00322C34"/>
    <w:rsid w:val="00361066"/>
    <w:rsid w:val="00380578"/>
    <w:rsid w:val="00387A64"/>
    <w:rsid w:val="003951B9"/>
    <w:rsid w:val="003A74D8"/>
    <w:rsid w:val="003B6DC6"/>
    <w:rsid w:val="003E2D44"/>
    <w:rsid w:val="0042245E"/>
    <w:rsid w:val="004735D0"/>
    <w:rsid w:val="00493CEC"/>
    <w:rsid w:val="004A701B"/>
    <w:rsid w:val="004B6ADE"/>
    <w:rsid w:val="005505EF"/>
    <w:rsid w:val="00590119"/>
    <w:rsid w:val="005D37CF"/>
    <w:rsid w:val="005D760D"/>
    <w:rsid w:val="00640BC0"/>
    <w:rsid w:val="0064711A"/>
    <w:rsid w:val="006857DA"/>
    <w:rsid w:val="006F214E"/>
    <w:rsid w:val="007A3883"/>
    <w:rsid w:val="007C13AD"/>
    <w:rsid w:val="007E1AD7"/>
    <w:rsid w:val="007E463F"/>
    <w:rsid w:val="00810E3F"/>
    <w:rsid w:val="00814D01"/>
    <w:rsid w:val="00837C81"/>
    <w:rsid w:val="00845DF2"/>
    <w:rsid w:val="0084628C"/>
    <w:rsid w:val="0084691D"/>
    <w:rsid w:val="00857479"/>
    <w:rsid w:val="0088048F"/>
    <w:rsid w:val="00882509"/>
    <w:rsid w:val="00883E16"/>
    <w:rsid w:val="008A327A"/>
    <w:rsid w:val="008D739F"/>
    <w:rsid w:val="00906237"/>
    <w:rsid w:val="00921E07"/>
    <w:rsid w:val="00962F52"/>
    <w:rsid w:val="00997BA6"/>
    <w:rsid w:val="009B1C45"/>
    <w:rsid w:val="009B4A1E"/>
    <w:rsid w:val="009E4D3C"/>
    <w:rsid w:val="009F6773"/>
    <w:rsid w:val="009F6955"/>
    <w:rsid w:val="00A00760"/>
    <w:rsid w:val="00A12728"/>
    <w:rsid w:val="00A561A9"/>
    <w:rsid w:val="00A6204B"/>
    <w:rsid w:val="00A74B65"/>
    <w:rsid w:val="00AA2506"/>
    <w:rsid w:val="00AA5A57"/>
    <w:rsid w:val="00AF0183"/>
    <w:rsid w:val="00AF2DB2"/>
    <w:rsid w:val="00B22FB4"/>
    <w:rsid w:val="00BA3A00"/>
    <w:rsid w:val="00BA5C4B"/>
    <w:rsid w:val="00BB2686"/>
    <w:rsid w:val="00BF7180"/>
    <w:rsid w:val="00C71871"/>
    <w:rsid w:val="00CC305F"/>
    <w:rsid w:val="00CD6F8A"/>
    <w:rsid w:val="00CF4E9C"/>
    <w:rsid w:val="00D164EA"/>
    <w:rsid w:val="00D30790"/>
    <w:rsid w:val="00D47475"/>
    <w:rsid w:val="00D53AE0"/>
    <w:rsid w:val="00D760D9"/>
    <w:rsid w:val="00D767E6"/>
    <w:rsid w:val="00DB0E94"/>
    <w:rsid w:val="00E02027"/>
    <w:rsid w:val="00E17EAA"/>
    <w:rsid w:val="00E223A5"/>
    <w:rsid w:val="00E24334"/>
    <w:rsid w:val="00E26476"/>
    <w:rsid w:val="00E30525"/>
    <w:rsid w:val="00E74F51"/>
    <w:rsid w:val="00E81596"/>
    <w:rsid w:val="00EE1A7E"/>
    <w:rsid w:val="00F24527"/>
    <w:rsid w:val="00F90738"/>
    <w:rsid w:val="00F9234D"/>
    <w:rsid w:val="00F9352D"/>
    <w:rsid w:val="00F93BB4"/>
    <w:rsid w:val="00F943BE"/>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1ED11AF-0AD8-425C-90F4-82F09BB9B49C}"/>
  <w:documentProtection w:edit="forms" w:enforcement="true" w:cryptProviderType="rsaFull" w:cryptAlgorithmClass="hash" w:cryptAlgorithmType="typeAny" w:cryptAlgorithmSid="4" w:cryptSpinCount="50000" w:hash="gOTgTSozDsJOCw4t+CZvxty3n9Q=" w:salt="Mt16u3d5CG59MelbhJY1c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t-EE" w:eastAsia="et-EE" w:bidi="et-EE"/>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29</cp:revision>
  <cp:lastPrinted>2014-09-29T10:58:00Z</cp:lastPrinted>
  <dcterms:created xsi:type="dcterms:W3CDTF">2014-09-05T03:56:00Z</dcterms:created>
  <dcterms:modified xsi:type="dcterms:W3CDTF">2014-10-07T18:27:00Z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