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686" w:rsidRPr="007B577C" w:rsidRDefault="00CF4E9C" w:rsidP="00BB2686">
      <w:pPr>
        <w:spacing w:before="240"/>
        <w:jc w:val="left"/>
        <w:rPr>
          <w:sz w:val="36"/>
          <w:szCs w:val="36"/>
        </w:rPr>
        <w:sectPr w:rsidR="00BB2686" w:rsidRPr="007B577C" w:rsidSect="00165890">
          <w:headerReference w:type="even" r:id="rId11"/>
          <w:headerReference w:type="default" r:id="rId12"/>
          <w:footerReference w:type="even" r:id="rId13"/>
          <w:footerReference w:type="default" r:id="rId14"/>
          <w:headerReference w:type="first" r:id="rId15"/>
          <w:footerReference w:type="first" r:id="rId16"/>
          <w:pgSz w:w="11907" w:h="16839" w:code="9"/>
          <w:pgMar w:top="1440" w:right="1440" w:bottom="1440" w:left="1440" w:header="576" w:footer="432" w:gutter="0"/>
          <w:cols w:space="720"/>
          <w:titlePg/>
          <w:docGrid w:linePitch="360"/>
        </w:sectPr>
      </w:pPr>
      <w:bookmarkStart w:id="0" w:name="_GoBack"/>
      <w:bookmarkEnd w:id="0"/>
      <w:r w:rsidRPr="007B577C">
        <w:rPr>
          <w:sz w:val="36"/>
          <w:szCs w:val="36"/>
        </w:rPr>
        <w:t>Microsoftin organisaatiokelpoisuusmääritys (EMEA)</w:t>
      </w:r>
    </w:p>
    <w:p w:rsidR="00CF4E9C" w:rsidRPr="007B577C" w:rsidRDefault="002B1126" w:rsidP="00883E16">
      <w:pPr>
        <w:spacing w:before="360" w:after="120"/>
      </w:pPr>
      <w:r w:rsidRPr="007B577C">
        <w:lastRenderedPageBreak/>
        <w:t>Alla määriteltyjen ja kuvattujen kategorioiden ja kriteereiden mukaiset julkisen sektorin organisaatiot</w:t>
      </w:r>
      <w:r w:rsidR="00655FB3" w:rsidRPr="007B577C">
        <w:t> </w:t>
      </w:r>
      <w:r w:rsidRPr="007B577C">
        <w:t>ovat oikeutettuja osallistumaan valtionhallintoa varten suunniteltuihin Microsoftin volyymikäyttöoikeusohjelmii</w:t>
      </w:r>
      <w:r w:rsidR="003E3E05" w:rsidRPr="007B577C">
        <w:t>n (</w:t>
      </w:r>
      <w:r w:rsidR="008E4B5C" w:rsidRPr="007B577C">
        <w:t>”</w:t>
      </w:r>
      <w:r w:rsidR="003E3E05" w:rsidRPr="007B577C">
        <w:t>hyväksytyt organisaatiot”).</w:t>
      </w:r>
      <w:r w:rsidRPr="007B577C">
        <w:t xml:space="preserve"> </w:t>
      </w:r>
      <w:r w:rsidR="008E4B5C" w:rsidRPr="007B577C">
        <w:t>”</w:t>
      </w:r>
      <w:r w:rsidRPr="007B577C">
        <w:t>Hyväksytty organisaatio</w:t>
      </w:r>
      <w:r w:rsidR="008E4B5C" w:rsidRPr="007B577C">
        <w:t>”</w:t>
      </w:r>
      <w:r w:rsidRPr="007B577C">
        <w:t xml:space="preserve"> tarkoittaa mitä tahansa voittoa tavoittelematonta organisaatiota, joka lukeutuu johon</w:t>
      </w:r>
      <w:r w:rsidR="003E3E05" w:rsidRPr="007B577C">
        <w:t>kin seuraavista ryhmistä:</w:t>
      </w:r>
      <w:r w:rsidRPr="007B577C">
        <w:t xml:space="preserve"> </w:t>
      </w:r>
    </w:p>
    <w:tbl>
      <w:tblPr>
        <w:tblStyle w:val="TableGrid"/>
        <w:tblW w:w="9029" w:type="dxa"/>
        <w:jc w:val="center"/>
        <w:tblLook w:val="04A0" w:firstRow="1" w:lastRow="0" w:firstColumn="1" w:lastColumn="0" w:noHBand="0" w:noVBand="1"/>
      </w:tblPr>
      <w:tblGrid>
        <w:gridCol w:w="3951"/>
        <w:gridCol w:w="5078"/>
      </w:tblGrid>
      <w:tr w:rsidR="00CF4E9C" w:rsidRPr="007B577C" w:rsidTr="00165890">
        <w:trPr>
          <w:cantSplit/>
          <w:tblHeader/>
          <w:jc w:val="center"/>
        </w:trPr>
        <w:tc>
          <w:tcPr>
            <w:tcW w:w="9029" w:type="dxa"/>
            <w:gridSpan w:val="2"/>
            <w:shd w:val="clear" w:color="auto" w:fill="000000" w:themeFill="text1"/>
          </w:tcPr>
          <w:p w:rsidR="00CF4E9C" w:rsidRPr="007B577C" w:rsidRDefault="00CF4E9C" w:rsidP="00883E16">
            <w:pPr>
              <w:keepNext/>
              <w:spacing w:before="120" w:after="120"/>
              <w:rPr>
                <w:b/>
                <w:bCs/>
                <w:color w:val="FFFFFF" w:themeColor="background1"/>
              </w:rPr>
            </w:pPr>
            <w:r w:rsidRPr="007B577C">
              <w:rPr>
                <w:b/>
                <w:bCs/>
                <w:color w:val="FFFFFF" w:themeColor="background1"/>
              </w:rPr>
              <w:t>Ryhmät</w:t>
            </w:r>
          </w:p>
        </w:tc>
      </w:tr>
      <w:tr w:rsidR="00BA29F8" w:rsidRPr="007B577C" w:rsidTr="00BA29F8">
        <w:trPr>
          <w:cantSplit/>
          <w:tblHeader/>
          <w:jc w:val="center"/>
        </w:trPr>
        <w:tc>
          <w:tcPr>
            <w:tcW w:w="3687" w:type="dxa"/>
            <w:vAlign w:val="center"/>
          </w:tcPr>
          <w:p w:rsidR="00CF4E9C" w:rsidRPr="007B577C" w:rsidRDefault="00CF4E9C" w:rsidP="00883E16">
            <w:pPr>
              <w:spacing w:before="120" w:after="120"/>
              <w:jc w:val="left"/>
              <w:rPr>
                <w:b/>
                <w:bCs/>
              </w:rPr>
            </w:pPr>
            <w:r w:rsidRPr="007B577C">
              <w:rPr>
                <w:b/>
                <w:bCs/>
              </w:rPr>
              <w:t>A. Ylikansallinen</w:t>
            </w:r>
          </w:p>
        </w:tc>
        <w:tc>
          <w:tcPr>
            <w:tcW w:w="5342" w:type="dxa"/>
            <w:vAlign w:val="center"/>
          </w:tcPr>
          <w:p w:rsidR="00CF4E9C" w:rsidRPr="007B577C" w:rsidRDefault="00CF4E9C" w:rsidP="00883E16">
            <w:pPr>
              <w:spacing w:before="120" w:after="120"/>
            </w:pPr>
            <w:r w:rsidRPr="007B577C">
              <w:t>Kaikki organisaatiot ja instituutiot, joilla on selvä säätelevä tai lainsäädännöllinen rooli useissa valtioissa.</w:t>
            </w:r>
          </w:p>
        </w:tc>
      </w:tr>
      <w:tr w:rsidR="00BA29F8" w:rsidRPr="007B577C" w:rsidTr="00BA29F8">
        <w:trPr>
          <w:cantSplit/>
          <w:tblHeader/>
          <w:jc w:val="center"/>
        </w:trPr>
        <w:tc>
          <w:tcPr>
            <w:tcW w:w="3687" w:type="dxa"/>
            <w:vAlign w:val="center"/>
          </w:tcPr>
          <w:p w:rsidR="00CF4E9C" w:rsidRPr="007B577C" w:rsidRDefault="00CF4E9C" w:rsidP="00883E16">
            <w:pPr>
              <w:spacing w:before="120" w:after="120"/>
              <w:jc w:val="left"/>
              <w:rPr>
                <w:b/>
                <w:bCs/>
              </w:rPr>
            </w:pPr>
            <w:r w:rsidRPr="007B577C">
              <w:rPr>
                <w:b/>
                <w:bCs/>
              </w:rPr>
              <w:t>B. Kansallinen/osavaltiollinen</w:t>
            </w:r>
          </w:p>
        </w:tc>
        <w:tc>
          <w:tcPr>
            <w:tcW w:w="5342" w:type="dxa"/>
            <w:vAlign w:val="center"/>
          </w:tcPr>
          <w:p w:rsidR="00CF4E9C" w:rsidRPr="007B577C" w:rsidRDefault="00CF4E9C" w:rsidP="00883E16">
            <w:pPr>
              <w:spacing w:before="120" w:after="120"/>
            </w:pPr>
            <w:r w:rsidRPr="007B577C">
              <w:t>Kaikki valtionhallinnon organisaatiot ja instituutiot, joita hallitaan kansallisella tai osavaltion tasolla ja joilla on mandaatti halli</w:t>
            </w:r>
            <w:r w:rsidR="003E3E05" w:rsidRPr="007B577C">
              <w:t>ta kansallisvaltiota tai maata.</w:t>
            </w:r>
            <w:r w:rsidRPr="007B577C">
              <w:t xml:space="preserve"> Näihin sisältyvät parlamentin elimet ja oikeuselimet, joilla on valtuudet määrätä oikeussäännöksistä.</w:t>
            </w:r>
          </w:p>
        </w:tc>
      </w:tr>
      <w:tr w:rsidR="00BA29F8" w:rsidRPr="007B577C" w:rsidTr="00BA29F8">
        <w:trPr>
          <w:cantSplit/>
          <w:jc w:val="center"/>
        </w:trPr>
        <w:tc>
          <w:tcPr>
            <w:tcW w:w="3687" w:type="dxa"/>
            <w:vAlign w:val="center"/>
          </w:tcPr>
          <w:p w:rsidR="00CF4E9C" w:rsidRPr="007B577C" w:rsidRDefault="00CF4E9C" w:rsidP="00883E16">
            <w:pPr>
              <w:spacing w:before="120" w:after="120"/>
              <w:jc w:val="left"/>
              <w:rPr>
                <w:b/>
                <w:bCs/>
              </w:rPr>
            </w:pPr>
            <w:r w:rsidRPr="007B577C">
              <w:rPr>
                <w:b/>
                <w:bCs/>
              </w:rPr>
              <w:t>C. Alueellinen/valtiollinen/maakunnallinen</w:t>
            </w:r>
          </w:p>
        </w:tc>
        <w:tc>
          <w:tcPr>
            <w:tcW w:w="5342" w:type="dxa"/>
            <w:vAlign w:val="center"/>
          </w:tcPr>
          <w:p w:rsidR="00CF4E9C" w:rsidRPr="007B577C" w:rsidRDefault="00CF4E9C" w:rsidP="00655FB3">
            <w:pPr>
              <w:spacing w:before="120" w:after="120"/>
            </w:pPr>
            <w:r w:rsidRPr="007B577C">
              <w:t>Valtionhallinnon keskitaso, joka ei kata koko maata mutta jonka toimivaltaan kuuluu useita paikallishallinnon alueita. Näihin sisältyvät (1)</w:t>
            </w:r>
            <w:r w:rsidR="00655FB3" w:rsidRPr="007B577C">
              <w:t> </w:t>
            </w:r>
            <w:r w:rsidRPr="007B577C">
              <w:t>kaikki valtionhallinnon organisaatiot ja instituutiot, joita hallitaan kansallisella tai alueellisella tasolla muun muassa alueellisesti, osavaltioittain, kunnittain, maakunnittain tai lääneittäin, sekä (2) kaikki laitokset, parlamentin elimet, säätelevät viranomaiset ja oikeuselimet, joilla on valtuudet määrätä oikeussäännöksistä kyseisellä alueella tai kyseisessä osavaltiossa, kunnassa, maakunnassa tai läänissä.</w:t>
            </w:r>
          </w:p>
        </w:tc>
      </w:tr>
      <w:tr w:rsidR="00BA29F8" w:rsidRPr="007B577C" w:rsidTr="00BA29F8">
        <w:trPr>
          <w:cantSplit/>
          <w:jc w:val="center"/>
        </w:trPr>
        <w:tc>
          <w:tcPr>
            <w:tcW w:w="3687" w:type="dxa"/>
            <w:vAlign w:val="center"/>
          </w:tcPr>
          <w:p w:rsidR="00CF4E9C" w:rsidRPr="007B577C" w:rsidRDefault="00CF4E9C" w:rsidP="00883E16">
            <w:pPr>
              <w:spacing w:before="120" w:after="120"/>
              <w:jc w:val="left"/>
              <w:rPr>
                <w:b/>
                <w:bCs/>
              </w:rPr>
            </w:pPr>
            <w:r w:rsidRPr="007B577C">
              <w:rPr>
                <w:b/>
                <w:bCs/>
              </w:rPr>
              <w:t>D. Paikallinen/kunnallinen</w:t>
            </w:r>
          </w:p>
        </w:tc>
        <w:tc>
          <w:tcPr>
            <w:tcW w:w="5342" w:type="dxa"/>
            <w:vAlign w:val="center"/>
          </w:tcPr>
          <w:p w:rsidR="00CF4E9C" w:rsidRPr="007B577C" w:rsidRDefault="00CF4E9C" w:rsidP="00883E16">
            <w:pPr>
              <w:spacing w:before="120" w:after="120"/>
            </w:pPr>
            <w:r w:rsidRPr="007B577C">
              <w:t>Valtionhallinnon ja siihen liittyvän hallinnon alin taso. Tähän sisältyvät kaikki valtionhallinnon organisaatiot ja instituutiot, joita hallitaan esimerkiksi kaupungin, kunnan, kylän tai muun yhteisön tasolla (esimerkiksi virkistystoimi, jätehuolto, pelastustoimi, paikallisten palvelujen hallinta ja joidenkin kansallisten palvelujen toteutus).</w:t>
            </w:r>
          </w:p>
        </w:tc>
      </w:tr>
      <w:tr w:rsidR="00BA29F8" w:rsidRPr="007B577C" w:rsidTr="00BA29F8">
        <w:trPr>
          <w:cantSplit/>
          <w:jc w:val="center"/>
        </w:trPr>
        <w:tc>
          <w:tcPr>
            <w:tcW w:w="3687" w:type="dxa"/>
            <w:vAlign w:val="center"/>
          </w:tcPr>
          <w:p w:rsidR="00CF4E9C" w:rsidRPr="007B577C" w:rsidRDefault="00CF4E9C" w:rsidP="00883E16">
            <w:pPr>
              <w:spacing w:before="120" w:after="120"/>
              <w:jc w:val="left"/>
              <w:rPr>
                <w:b/>
                <w:bCs/>
              </w:rPr>
            </w:pPr>
            <w:r w:rsidRPr="007B577C">
              <w:rPr>
                <w:b/>
                <w:bCs/>
              </w:rPr>
              <w:t>E. Terveydenhuolto</w:t>
            </w:r>
          </w:p>
        </w:tc>
        <w:tc>
          <w:tcPr>
            <w:tcW w:w="5342" w:type="dxa"/>
            <w:vAlign w:val="center"/>
          </w:tcPr>
          <w:p w:rsidR="00CF4E9C" w:rsidRPr="007B577C" w:rsidRDefault="00CF4E9C" w:rsidP="00655FB3">
            <w:pPr>
              <w:spacing w:before="120" w:after="120"/>
            </w:pPr>
            <w:r w:rsidRPr="007B577C">
              <w:t>Kaikki valtionhallinnon organisaatiot ja instituutiot, jotka</w:t>
            </w:r>
            <w:r w:rsidR="00655FB3" w:rsidRPr="007B577C">
              <w:t> </w:t>
            </w:r>
            <w:r w:rsidRPr="007B577C">
              <w:t>tuottavat</w:t>
            </w:r>
            <w:r w:rsidR="00655FB3" w:rsidRPr="007B577C">
              <w:t> </w:t>
            </w:r>
            <w:r w:rsidRPr="007B577C">
              <w:t>terveydenhuoltopalveluja,</w:t>
            </w:r>
            <w:r w:rsidR="00655FB3" w:rsidRPr="007B577C">
              <w:t> </w:t>
            </w:r>
            <w:r w:rsidRPr="007B577C">
              <w:t>määräävät kansallisvaltion</w:t>
            </w:r>
            <w:r w:rsidR="00655FB3" w:rsidRPr="007B577C">
              <w:t> </w:t>
            </w:r>
            <w:r w:rsidRPr="007B577C">
              <w:t>tai</w:t>
            </w:r>
            <w:r w:rsidR="00655FB3" w:rsidRPr="007B577C">
              <w:t> </w:t>
            </w:r>
            <w:r w:rsidRPr="007B577C">
              <w:t>maan</w:t>
            </w:r>
            <w:r w:rsidR="00655FB3" w:rsidRPr="007B577C">
              <w:t> </w:t>
            </w:r>
            <w:r w:rsidRPr="007B577C">
              <w:t>terveydenhuoltokäytännöistä, myöntävät rahoitusta terveydenhuoltopalveluille tai joilla on terveydenhuoltopalveluja säätelevä rooli.</w:t>
            </w:r>
          </w:p>
        </w:tc>
      </w:tr>
      <w:tr w:rsidR="00BA29F8" w:rsidRPr="007B577C" w:rsidTr="00BA29F8">
        <w:trPr>
          <w:cantSplit/>
          <w:jc w:val="center"/>
        </w:trPr>
        <w:tc>
          <w:tcPr>
            <w:tcW w:w="3687" w:type="dxa"/>
            <w:vAlign w:val="center"/>
          </w:tcPr>
          <w:p w:rsidR="00CF4E9C" w:rsidRPr="007B577C" w:rsidRDefault="00CF4E9C" w:rsidP="00883E16">
            <w:pPr>
              <w:spacing w:before="120" w:after="120"/>
              <w:jc w:val="left"/>
              <w:rPr>
                <w:b/>
                <w:bCs/>
              </w:rPr>
            </w:pPr>
            <w:r w:rsidRPr="007B577C">
              <w:rPr>
                <w:b/>
                <w:bCs/>
              </w:rPr>
              <w:t>F. Muut valtionhallinnon organisaatiot</w:t>
            </w:r>
          </w:p>
        </w:tc>
        <w:tc>
          <w:tcPr>
            <w:tcW w:w="5342" w:type="dxa"/>
            <w:vAlign w:val="center"/>
          </w:tcPr>
          <w:p w:rsidR="00CF4E9C" w:rsidRPr="007B577C" w:rsidRDefault="00CF4E9C" w:rsidP="00883E16">
            <w:pPr>
              <w:spacing w:before="120" w:after="120"/>
            </w:pPr>
            <w:r w:rsidRPr="007B577C">
              <w:t>Kaikki organisaatiot, jotka ovat kansainvälisesti tunnustetun kansallisvaltion valtionhallinnon yksinomaisessa alaisuudessa ja viimekädessä sen hallinnassa.</w:t>
            </w:r>
          </w:p>
          <w:p w:rsidR="00AA5A57" w:rsidRPr="007B577C" w:rsidRDefault="00AA5A57" w:rsidP="00883E16">
            <w:pPr>
              <w:spacing w:after="120"/>
            </w:pPr>
            <w:r w:rsidRPr="007B577C">
              <w:t xml:space="preserve">Kaikki organisaatiot, jotka on lainsäädännön nojalla luotu jotakin julkista tehtävää varten, siten kuin on kuvattu asianomaisessa valtuutuslaissa tai organisaation yhtiöjärjestyksessä tai tavoitteissa (esimerkkejä ovat lautakunnat, kunnallishallinto, valtion tutkimuslaitokset). </w:t>
            </w:r>
          </w:p>
        </w:tc>
      </w:tr>
    </w:tbl>
    <w:p w:rsidR="00CF4E9C" w:rsidRPr="007B577C" w:rsidRDefault="00CF4E9C" w:rsidP="00883E16">
      <w:r w:rsidRPr="007B577C">
        <w:lastRenderedPageBreak/>
        <w:t>Jos organisaatio täyttää jonkin edellä mainitun ryhmän vaatimukset, mutta sen toiminta on voittoa tavoittelevaa, organisaation kelpoisuus hyväksytyksi organisaatioksi ratkaistaan seuraavien ylimääräisten kriteerien perusteella:</w:t>
      </w:r>
    </w:p>
    <w:p w:rsidR="00CF4E9C" w:rsidRPr="007B577C" w:rsidRDefault="00CF4E9C" w:rsidP="00883E16">
      <w:pPr>
        <w:pStyle w:val="ListParagraph"/>
        <w:numPr>
          <w:ilvl w:val="0"/>
          <w:numId w:val="1"/>
        </w:numPr>
        <w:ind w:left="1080"/>
        <w:contextualSpacing w:val="0"/>
      </w:pPr>
      <w:r w:rsidRPr="007B577C">
        <w:t>Menevätkö tuotot/voitot yksinomaan valtionhallinnolle (vai myös yksityisille osakkeenomistajille)?</w:t>
      </w:r>
    </w:p>
    <w:p w:rsidR="00CF4E9C" w:rsidRPr="007B577C" w:rsidRDefault="00CF4E9C" w:rsidP="00883E16">
      <w:pPr>
        <w:pStyle w:val="ListParagraph"/>
        <w:numPr>
          <w:ilvl w:val="0"/>
          <w:numId w:val="1"/>
        </w:numPr>
        <w:ind w:left="1080"/>
        <w:contextualSpacing w:val="0"/>
      </w:pPr>
      <w:r w:rsidRPr="007B577C">
        <w:t>Onko kyseinen organisaatio vapautettu yritysverosta?</w:t>
      </w:r>
    </w:p>
    <w:p w:rsidR="00CF4E9C" w:rsidRPr="007B577C" w:rsidRDefault="00CF4E9C" w:rsidP="00883E16">
      <w:pPr>
        <w:pStyle w:val="ListParagraph"/>
        <w:numPr>
          <w:ilvl w:val="0"/>
          <w:numId w:val="1"/>
        </w:numPr>
        <w:ind w:left="1080"/>
        <w:contextualSpacing w:val="0"/>
      </w:pPr>
      <w:r w:rsidRPr="007B577C">
        <w:t>Saako organisaatio rahoituksestaan yli 50 % valtionhallinnolta (eli muodostuuko alle 50 % rahoituksesta kaupallisesta toiminnasta)?</w:t>
      </w:r>
    </w:p>
    <w:p w:rsidR="00CF4E9C" w:rsidRPr="007B577C" w:rsidRDefault="00CF4E9C" w:rsidP="00883E16">
      <w:r w:rsidRPr="007B577C">
        <w:t>Jos vastaus kaikkiin näihin kysymyksiin on kyllä, organisaatio kelpaa hyväksytyksi organisaatioksi. Jos vastaus yhteenkin näistä kysymyksistä on ei, organisaatio ei kelpaa hyväksytyksi organisaatioksi. Yleensä valtiohallinnon yhtiöt, valtion omistamat yritykset ja valtionhallinnon organisaatiot (olivatpa ne kaupparekisterissä tai eivät), jotka harjoittavat kaupallista toimintaa (esimerkiksi viestintä-, rahoitus- tai kuljetustoimintaa), eivät kelpa</w:t>
      </w:r>
      <w:r w:rsidR="00D275DB">
        <w:t>a hyväksytyksi organisaatioksi.</w:t>
      </w:r>
    </w:p>
    <w:p w:rsidR="00CF4E9C" w:rsidRPr="007B577C" w:rsidRDefault="00CF4E9C" w:rsidP="00883E16">
      <w:r w:rsidRPr="007B577C">
        <w:t xml:space="preserve">Jos maan valtionhallinto julkaisee luetteloa julkisen sektorin organisaatioista, myös tällaisten organisaatioiden on täytettävä tämän määrityksen kriteerit kelvatakseen </w:t>
      </w:r>
      <w:r w:rsidR="00D275DB">
        <w:t>hyväksytyiksi organisaatioiksi.</w:t>
      </w:r>
    </w:p>
    <w:p w:rsidR="00E24334" w:rsidRPr="007B577C" w:rsidRDefault="00E24334" w:rsidP="00883E16">
      <w:r w:rsidRPr="007B577C">
        <w:t>Mikäli organisaatio lakkaa täyttämästä hyväksytyn valtionhallinnon yksikön kelpoisuusehdot allekirjoitettuaan käyttöoikeussopimuksen, organisaatio saa edelleen käyttää kopioita tuotteista, joihin on hankkinut käyttöoikeudet, mutta organisaatio ei saa tehdä uusia Käyttöoikeustilauksia Microsoft Government Lice</w:t>
      </w:r>
      <w:r w:rsidR="00D275DB">
        <w:t>nse -ohjelmasta.</w:t>
      </w:r>
    </w:p>
    <w:p w:rsidR="00F9352D" w:rsidRPr="007B577C" w:rsidRDefault="00A561A9" w:rsidP="000A6499">
      <w:bookmarkStart w:id="1" w:name="OLE_LINK1"/>
      <w:bookmarkStart w:id="2" w:name="OLE_LINK2"/>
      <w:r w:rsidRPr="007B577C">
        <w:t>Microsoft tarjoaa valtionhallinnon hinnoittelun siihen oikeutetuille julkisen sektorin organisaatioille (jotka on</w:t>
      </w:r>
      <w:r w:rsidR="003E3E05" w:rsidRPr="007B577C">
        <w:t xml:space="preserve"> määritetty ja kuvattu edellä).</w:t>
      </w:r>
      <w:r w:rsidRPr="007B577C">
        <w:t xml:space="preserve"> Mahdollisten tietyssä volyymikäyttöoikeussopimuksessa olevien lisäoikeutusehtojen rajoissa oikeutetut organisaatiot ovat oikeutettuja saamaan (1) hintatason D</w:t>
      </w:r>
      <w:r w:rsidR="00BA29F8" w:rsidRPr="007B577C">
        <w:t> </w:t>
      </w:r>
      <w:r w:rsidRPr="007B577C">
        <w:t>Enterprise-, Enterprise Subscription-, Select- tai Select Plus -volyymikäyttöoikeusohjelmissa tai (2)</w:t>
      </w:r>
      <w:r w:rsidR="00BA29F8" w:rsidRPr="007B577C">
        <w:t> </w:t>
      </w:r>
      <w:r w:rsidRPr="007B577C">
        <w:t>muita alennuksia, jotka voivat olla saatavilla muissa Microsoftin volyymikäyttöoikeusohjelmissa.</w:t>
      </w:r>
      <w:bookmarkEnd w:id="1"/>
      <w:bookmarkEnd w:id="2"/>
    </w:p>
    <w:sectPr w:rsidR="00F9352D" w:rsidRPr="007B577C" w:rsidSect="00165890">
      <w:type w:val="continuous"/>
      <w:pgSz w:w="11907" w:h="16839" w:code="9"/>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493" w:rsidRDefault="00C72493" w:rsidP="00CF4E9C">
      <w:pPr>
        <w:spacing w:before="0"/>
      </w:pPr>
      <w:r>
        <w:separator/>
      </w:r>
    </w:p>
  </w:endnote>
  <w:endnote w:type="continuationSeparator" w:id="0">
    <w:p w:rsidR="00C72493" w:rsidRDefault="00C72493" w:rsidP="00CF4E9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FD1" w:rsidRDefault="00EA6F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1"/>
      <w:gridCol w:w="4468"/>
    </w:tblGrid>
    <w:tr w:rsidR="00EA6FD1" w:rsidRPr="00EA6FD1" w:rsidTr="00602F1F">
      <w:trPr>
        <w:jc w:val="center"/>
      </w:trPr>
      <w:tc>
        <w:tcPr>
          <w:tcW w:w="4621" w:type="dxa"/>
          <w:shd w:val="clear" w:color="auto" w:fill="auto"/>
        </w:tcPr>
        <w:p w:rsidR="00EA6FD1" w:rsidRPr="00EA6FD1" w:rsidRDefault="00EA6FD1" w:rsidP="00EA6FD1">
          <w:pPr>
            <w:pStyle w:val="Footer"/>
            <w:rPr>
              <w:rStyle w:val="LogoportDoNotTranslate"/>
              <w:rFonts w:ascii="Arial" w:hAnsi="Arial" w:cs="Arial"/>
              <w:color w:val="auto"/>
              <w:sz w:val="16"/>
              <w:szCs w:val="16"/>
            </w:rPr>
          </w:pPr>
          <w:r w:rsidRPr="00EA6FD1">
            <w:rPr>
              <w:rStyle w:val="LogoportDoNotTranslate"/>
              <w:rFonts w:ascii="Arial" w:hAnsi="Arial" w:cs="Arial"/>
              <w:color w:val="auto"/>
              <w:sz w:val="16"/>
              <w:szCs w:val="16"/>
            </w:rPr>
            <w:t>GovEligibilityDef(EMEA)(FIN)(Nov2014)</w:t>
          </w:r>
        </w:p>
      </w:tc>
      <w:tc>
        <w:tcPr>
          <w:tcW w:w="4622" w:type="dxa"/>
          <w:shd w:val="clear" w:color="auto" w:fill="auto"/>
        </w:tcPr>
        <w:p w:rsidR="00EA6FD1" w:rsidRPr="00EA6FD1" w:rsidRDefault="00EA6FD1" w:rsidP="00EA6FD1">
          <w:pPr>
            <w:pStyle w:val="Footer"/>
            <w:jc w:val="right"/>
            <w:rPr>
              <w:rStyle w:val="LogoportDoNotTranslate"/>
              <w:rFonts w:ascii="Arial" w:hAnsi="Arial" w:cs="Arial"/>
              <w:color w:val="auto"/>
              <w:sz w:val="16"/>
              <w:szCs w:val="16"/>
            </w:rPr>
          </w:pPr>
          <w:r w:rsidRPr="00EA6FD1">
            <w:rPr>
              <w:rStyle w:val="LogoportDoNotTranslate"/>
              <w:rFonts w:ascii="Arial" w:hAnsi="Arial" w:cs="Arial"/>
              <w:color w:val="auto"/>
              <w:sz w:val="16"/>
              <w:szCs w:val="16"/>
            </w:rPr>
            <w:t xml:space="preserve">Page </w:t>
          </w:r>
          <w:r w:rsidRPr="00EA6FD1">
            <w:rPr>
              <w:rStyle w:val="LogoportDoNotTranslate"/>
              <w:rFonts w:ascii="Arial" w:hAnsi="Arial" w:cs="Arial"/>
              <w:color w:val="auto"/>
              <w:sz w:val="16"/>
              <w:szCs w:val="16"/>
            </w:rPr>
            <w:fldChar w:fldCharType="begin"/>
          </w:r>
          <w:r w:rsidRPr="00EA6FD1">
            <w:rPr>
              <w:rStyle w:val="LogoportDoNotTranslate"/>
              <w:rFonts w:ascii="Arial" w:hAnsi="Arial" w:cs="Arial"/>
              <w:color w:val="auto"/>
              <w:sz w:val="16"/>
              <w:szCs w:val="16"/>
            </w:rPr>
            <w:instrText xml:space="preserve"> PAGE  \* MERGEFORMAT </w:instrText>
          </w:r>
          <w:r w:rsidRPr="00EA6FD1">
            <w:rPr>
              <w:rStyle w:val="LogoportDoNotTranslate"/>
              <w:rFonts w:ascii="Arial" w:hAnsi="Arial" w:cs="Arial"/>
              <w:color w:val="auto"/>
              <w:sz w:val="16"/>
              <w:szCs w:val="16"/>
            </w:rPr>
            <w:fldChar w:fldCharType="separate"/>
          </w:r>
          <w:r w:rsidR="002743B3">
            <w:rPr>
              <w:rStyle w:val="LogoportDoNotTranslate"/>
              <w:rFonts w:ascii="Arial" w:hAnsi="Arial" w:cs="Arial"/>
              <w:noProof/>
              <w:color w:val="auto"/>
              <w:sz w:val="16"/>
              <w:szCs w:val="16"/>
            </w:rPr>
            <w:t>2</w:t>
          </w:r>
          <w:r w:rsidRPr="00EA6FD1">
            <w:rPr>
              <w:rStyle w:val="LogoportDoNotTranslate"/>
              <w:rFonts w:ascii="Arial" w:hAnsi="Arial" w:cs="Arial"/>
              <w:color w:val="auto"/>
              <w:sz w:val="16"/>
              <w:szCs w:val="16"/>
            </w:rPr>
            <w:fldChar w:fldCharType="end"/>
          </w:r>
          <w:r w:rsidRPr="00EA6FD1">
            <w:rPr>
              <w:rStyle w:val="LogoportDoNotTranslate"/>
              <w:rFonts w:ascii="Arial" w:hAnsi="Arial" w:cs="Arial"/>
              <w:color w:val="auto"/>
              <w:sz w:val="16"/>
              <w:szCs w:val="16"/>
            </w:rPr>
            <w:t xml:space="preserve"> of </w:t>
          </w:r>
          <w:r w:rsidRPr="00EA6FD1">
            <w:rPr>
              <w:rStyle w:val="LogoportDoNotTranslate"/>
              <w:rFonts w:ascii="Arial" w:hAnsi="Arial" w:cs="Arial"/>
              <w:color w:val="auto"/>
              <w:sz w:val="16"/>
              <w:szCs w:val="16"/>
            </w:rPr>
            <w:fldChar w:fldCharType="begin"/>
          </w:r>
          <w:r w:rsidRPr="00EA6FD1">
            <w:rPr>
              <w:rStyle w:val="LogoportDoNotTranslate"/>
              <w:rFonts w:ascii="Arial" w:hAnsi="Arial" w:cs="Arial"/>
              <w:color w:val="auto"/>
              <w:sz w:val="16"/>
              <w:szCs w:val="16"/>
            </w:rPr>
            <w:instrText xml:space="preserve"> NUMPAGES  \* MERGEFORMAT </w:instrText>
          </w:r>
          <w:r w:rsidRPr="00EA6FD1">
            <w:rPr>
              <w:rStyle w:val="LogoportDoNotTranslate"/>
              <w:rFonts w:ascii="Arial" w:hAnsi="Arial" w:cs="Arial"/>
              <w:color w:val="auto"/>
              <w:sz w:val="16"/>
              <w:szCs w:val="16"/>
            </w:rPr>
            <w:fldChar w:fldCharType="separate"/>
          </w:r>
          <w:r w:rsidR="002743B3">
            <w:rPr>
              <w:rStyle w:val="LogoportDoNotTranslate"/>
              <w:rFonts w:ascii="Arial" w:hAnsi="Arial" w:cs="Arial"/>
              <w:noProof/>
              <w:color w:val="auto"/>
              <w:sz w:val="16"/>
              <w:szCs w:val="16"/>
            </w:rPr>
            <w:t>2</w:t>
          </w:r>
          <w:r w:rsidRPr="00EA6FD1">
            <w:rPr>
              <w:rStyle w:val="LogoportDoNotTranslate"/>
              <w:rFonts w:ascii="Arial" w:hAnsi="Arial" w:cs="Arial"/>
              <w:color w:val="auto"/>
              <w:sz w:val="16"/>
              <w:szCs w:val="16"/>
            </w:rPr>
            <w:fldChar w:fldCharType="end"/>
          </w:r>
        </w:p>
        <w:p w:rsidR="00EA6FD1" w:rsidRPr="00EA6FD1" w:rsidRDefault="00EA6FD1" w:rsidP="00EA6FD1">
          <w:pPr>
            <w:pStyle w:val="Footer"/>
            <w:jc w:val="right"/>
            <w:rPr>
              <w:rStyle w:val="LogoportDoNotTranslate"/>
              <w:rFonts w:ascii="Arial" w:hAnsi="Arial" w:cs="Arial"/>
              <w:color w:val="auto"/>
              <w:sz w:val="16"/>
              <w:szCs w:val="16"/>
            </w:rPr>
          </w:pPr>
        </w:p>
      </w:tc>
    </w:tr>
  </w:tbl>
  <w:p w:rsidR="00EA6FD1" w:rsidRPr="00EA6FD1" w:rsidRDefault="00EA6FD1" w:rsidP="00EA6FD1">
    <w:pPr>
      <w:pStyle w:val="Footer"/>
      <w:rPr>
        <w:rStyle w:val="LogoportDoNotTranslate"/>
        <w:rFonts w:ascii="Arial" w:hAnsi="Arial" w:cs="Arial"/>
        <w:color w:val="auto"/>
        <w:sz w:val="16"/>
        <w:szCs w:val="20"/>
      </w:rPr>
    </w:pPr>
  </w:p>
  <w:p w:rsidR="0006204C" w:rsidRPr="00EA6FD1" w:rsidRDefault="0006204C" w:rsidP="00EA6FD1">
    <w:pPr>
      <w:pStyle w:val="Footer"/>
      <w:rPr>
        <w:rStyle w:val="LogoportDoNotTranslate"/>
        <w:rFonts w:ascii="Arial" w:hAnsi="Arial" w:cs="Arial"/>
        <w:color w:val="auto"/>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1"/>
      <w:gridCol w:w="4468"/>
    </w:tblGrid>
    <w:tr w:rsidR="00EA6FD1" w:rsidRPr="00EA6FD1" w:rsidTr="00EA6FD1">
      <w:trPr>
        <w:jc w:val="center"/>
      </w:trPr>
      <w:tc>
        <w:tcPr>
          <w:tcW w:w="4621" w:type="dxa"/>
          <w:shd w:val="clear" w:color="auto" w:fill="auto"/>
        </w:tcPr>
        <w:p w:rsidR="00EA6FD1" w:rsidRPr="00EA6FD1" w:rsidRDefault="00EA6FD1" w:rsidP="00EA6FD1">
          <w:pPr>
            <w:pStyle w:val="Footer"/>
            <w:rPr>
              <w:rStyle w:val="LogoportDoNotTranslate"/>
              <w:rFonts w:ascii="Arial" w:hAnsi="Arial" w:cs="Arial"/>
              <w:color w:val="auto"/>
              <w:sz w:val="16"/>
              <w:szCs w:val="16"/>
            </w:rPr>
          </w:pPr>
          <w:r w:rsidRPr="00EA6FD1">
            <w:rPr>
              <w:rStyle w:val="LogoportDoNotTranslate"/>
              <w:rFonts w:ascii="Arial" w:hAnsi="Arial" w:cs="Arial"/>
              <w:color w:val="auto"/>
              <w:sz w:val="16"/>
              <w:szCs w:val="16"/>
            </w:rPr>
            <w:t>GovEligibilityDef(EMEA)(FIN)(Nov2014)</w:t>
          </w:r>
        </w:p>
      </w:tc>
      <w:tc>
        <w:tcPr>
          <w:tcW w:w="4622" w:type="dxa"/>
          <w:shd w:val="clear" w:color="auto" w:fill="auto"/>
        </w:tcPr>
        <w:p w:rsidR="00EA6FD1" w:rsidRPr="00EA6FD1" w:rsidRDefault="00EA6FD1" w:rsidP="00EA6FD1">
          <w:pPr>
            <w:pStyle w:val="Footer"/>
            <w:jc w:val="right"/>
            <w:rPr>
              <w:rStyle w:val="LogoportDoNotTranslate"/>
              <w:rFonts w:ascii="Arial" w:hAnsi="Arial" w:cs="Arial"/>
              <w:color w:val="auto"/>
              <w:sz w:val="16"/>
              <w:szCs w:val="16"/>
            </w:rPr>
          </w:pPr>
          <w:r w:rsidRPr="00EA6FD1">
            <w:rPr>
              <w:rStyle w:val="LogoportDoNotTranslate"/>
              <w:rFonts w:ascii="Arial" w:hAnsi="Arial" w:cs="Arial"/>
              <w:color w:val="auto"/>
              <w:sz w:val="16"/>
              <w:szCs w:val="16"/>
            </w:rPr>
            <w:t xml:space="preserve">Page </w:t>
          </w:r>
          <w:r w:rsidRPr="00EA6FD1">
            <w:rPr>
              <w:rStyle w:val="LogoportDoNotTranslate"/>
              <w:rFonts w:ascii="Arial" w:hAnsi="Arial" w:cs="Arial"/>
              <w:color w:val="auto"/>
              <w:sz w:val="16"/>
              <w:szCs w:val="16"/>
            </w:rPr>
            <w:fldChar w:fldCharType="begin"/>
          </w:r>
          <w:r w:rsidRPr="00EA6FD1">
            <w:rPr>
              <w:rStyle w:val="LogoportDoNotTranslate"/>
              <w:rFonts w:ascii="Arial" w:hAnsi="Arial" w:cs="Arial"/>
              <w:color w:val="auto"/>
              <w:sz w:val="16"/>
              <w:szCs w:val="16"/>
            </w:rPr>
            <w:instrText xml:space="preserve"> PAGE  \* MERGEFORMAT </w:instrText>
          </w:r>
          <w:r w:rsidRPr="00EA6FD1">
            <w:rPr>
              <w:rStyle w:val="LogoportDoNotTranslate"/>
              <w:rFonts w:ascii="Arial" w:hAnsi="Arial" w:cs="Arial"/>
              <w:color w:val="auto"/>
              <w:sz w:val="16"/>
              <w:szCs w:val="16"/>
            </w:rPr>
            <w:fldChar w:fldCharType="separate"/>
          </w:r>
          <w:r w:rsidR="002743B3">
            <w:rPr>
              <w:rStyle w:val="LogoportDoNotTranslate"/>
              <w:rFonts w:ascii="Arial" w:hAnsi="Arial" w:cs="Arial"/>
              <w:noProof/>
              <w:color w:val="auto"/>
              <w:sz w:val="16"/>
              <w:szCs w:val="16"/>
            </w:rPr>
            <w:t>1</w:t>
          </w:r>
          <w:r w:rsidRPr="00EA6FD1">
            <w:rPr>
              <w:rStyle w:val="LogoportDoNotTranslate"/>
              <w:rFonts w:ascii="Arial" w:hAnsi="Arial" w:cs="Arial"/>
              <w:color w:val="auto"/>
              <w:sz w:val="16"/>
              <w:szCs w:val="16"/>
            </w:rPr>
            <w:fldChar w:fldCharType="end"/>
          </w:r>
          <w:r w:rsidRPr="00EA6FD1">
            <w:rPr>
              <w:rStyle w:val="LogoportDoNotTranslate"/>
              <w:rFonts w:ascii="Arial" w:hAnsi="Arial" w:cs="Arial"/>
              <w:color w:val="auto"/>
              <w:sz w:val="16"/>
              <w:szCs w:val="16"/>
            </w:rPr>
            <w:t xml:space="preserve"> of </w:t>
          </w:r>
          <w:r w:rsidRPr="00EA6FD1">
            <w:rPr>
              <w:rStyle w:val="LogoportDoNotTranslate"/>
              <w:rFonts w:ascii="Arial" w:hAnsi="Arial" w:cs="Arial"/>
              <w:color w:val="auto"/>
              <w:sz w:val="16"/>
              <w:szCs w:val="16"/>
            </w:rPr>
            <w:fldChar w:fldCharType="begin"/>
          </w:r>
          <w:r w:rsidRPr="00EA6FD1">
            <w:rPr>
              <w:rStyle w:val="LogoportDoNotTranslate"/>
              <w:rFonts w:ascii="Arial" w:hAnsi="Arial" w:cs="Arial"/>
              <w:color w:val="auto"/>
              <w:sz w:val="16"/>
              <w:szCs w:val="16"/>
            </w:rPr>
            <w:instrText xml:space="preserve"> NUMPAGES  \* MERGEFORMAT </w:instrText>
          </w:r>
          <w:r w:rsidRPr="00EA6FD1">
            <w:rPr>
              <w:rStyle w:val="LogoportDoNotTranslate"/>
              <w:rFonts w:ascii="Arial" w:hAnsi="Arial" w:cs="Arial"/>
              <w:color w:val="auto"/>
              <w:sz w:val="16"/>
              <w:szCs w:val="16"/>
            </w:rPr>
            <w:fldChar w:fldCharType="separate"/>
          </w:r>
          <w:r w:rsidR="002743B3">
            <w:rPr>
              <w:rStyle w:val="LogoportDoNotTranslate"/>
              <w:rFonts w:ascii="Arial" w:hAnsi="Arial" w:cs="Arial"/>
              <w:noProof/>
              <w:color w:val="auto"/>
              <w:sz w:val="16"/>
              <w:szCs w:val="16"/>
            </w:rPr>
            <w:t>2</w:t>
          </w:r>
          <w:r w:rsidRPr="00EA6FD1">
            <w:rPr>
              <w:rStyle w:val="LogoportDoNotTranslate"/>
              <w:rFonts w:ascii="Arial" w:hAnsi="Arial" w:cs="Arial"/>
              <w:color w:val="auto"/>
              <w:sz w:val="16"/>
              <w:szCs w:val="16"/>
            </w:rPr>
            <w:fldChar w:fldCharType="end"/>
          </w:r>
        </w:p>
        <w:p w:rsidR="00EA6FD1" w:rsidRPr="00EA6FD1" w:rsidRDefault="00EA6FD1" w:rsidP="00EA6FD1">
          <w:pPr>
            <w:pStyle w:val="Footer"/>
            <w:jc w:val="right"/>
            <w:rPr>
              <w:rStyle w:val="LogoportDoNotTranslate"/>
              <w:rFonts w:ascii="Arial" w:hAnsi="Arial" w:cs="Arial"/>
              <w:color w:val="auto"/>
              <w:sz w:val="16"/>
              <w:szCs w:val="16"/>
            </w:rPr>
          </w:pPr>
        </w:p>
      </w:tc>
    </w:tr>
  </w:tbl>
  <w:p w:rsidR="005D37CF" w:rsidRPr="00EA6FD1" w:rsidRDefault="005D37CF" w:rsidP="00EA6FD1">
    <w:pPr>
      <w:pStyle w:val="Footer"/>
      <w:rPr>
        <w:rStyle w:val="LogoportDoNotTranslate"/>
        <w:rFonts w:ascii="Arial" w:hAnsi="Arial" w:cs="Arial"/>
        <w:color w:val="auto"/>
        <w:sz w:val="16"/>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493" w:rsidRDefault="00C72493" w:rsidP="00CF4E9C">
      <w:pPr>
        <w:spacing w:before="0"/>
      </w:pPr>
      <w:r>
        <w:separator/>
      </w:r>
    </w:p>
  </w:footnote>
  <w:footnote w:type="continuationSeparator" w:id="0">
    <w:p w:rsidR="00C72493" w:rsidRDefault="00C72493" w:rsidP="00CF4E9C">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B65" w:rsidRDefault="002743B3">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123626" o:spid="_x0000_s2053" type="#_x0000_t75" style="position:absolute;left:0;text-align:left;margin-left:0;margin-top:0;width:451.2pt;height:254.35pt;z-index:-251657216;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B65" w:rsidRDefault="002743B3">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123627" o:spid="_x0000_s2054" type="#_x0000_t75" style="position:absolute;left:0;text-align:left;margin-left:0;margin-top:0;width:451.2pt;height:254.35pt;z-index:-251656192;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7CF" w:rsidRDefault="002743B3" w:rsidP="00FB472C">
    <w:pPr>
      <w:pStyle w:val="Header"/>
      <w:jc w:val="lef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123625" o:spid="_x0000_s2052" type="#_x0000_t75" style="position:absolute;margin-left:0;margin-top:0;width:451.2pt;height:254.35pt;z-index:-251658240;mso-position-horizontal:center;mso-position-horizontal-relative:margin;mso-position-vertical:center;mso-position-vertical-relative:margin" o:allowincell="f">
          <v:imagedata r:id="rId1" o:title="Watermark" gain="19661f" blacklevel="22938f"/>
          <w10:wrap anchorx="margin" anchory="margin"/>
        </v:shape>
      </w:pict>
    </w:r>
    <w:r w:rsidR="0017783A">
      <w:rPr>
        <w:noProof/>
        <w:lang w:val="en-US" w:eastAsia="en-US" w:bidi="ar-SA"/>
      </w:rPr>
      <w:drawing>
        <wp:inline distT="0" distB="0" distL="0" distR="0" wp14:anchorId="3177D21F" wp14:editId="5CC4CC9F">
          <wp:extent cx="5724525" cy="561975"/>
          <wp:effectExtent l="0" t="0" r="0" b="9525"/>
          <wp:docPr id="1" name="Picture 1" descr="C:\Users\v-zamorr\Desktop\new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zamorr\Desktop\new h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45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53E7C"/>
    <w:multiLevelType w:val="hybridMultilevel"/>
    <w:tmpl w:val="B22E41D8"/>
    <w:lvl w:ilvl="0" w:tplc="04090001">
      <w:start w:val="1"/>
      <w:numFmt w:val="bullet"/>
      <w:lvlText w:val=""/>
      <w:lvlJc w:val="left"/>
      <w:pPr>
        <w:ind w:left="882" w:hanging="360"/>
      </w:pPr>
      <w:rPr>
        <w:rFonts w:ascii="Symbol" w:hAnsi="Symbol" w:hint="default"/>
      </w:rPr>
    </w:lvl>
    <w:lvl w:ilvl="1" w:tplc="04090003">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
    <w:nsid w:val="02D00D01"/>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136F6"/>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12C45"/>
    <w:multiLevelType w:val="hybridMultilevel"/>
    <w:tmpl w:val="1C9C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0C03D8"/>
    <w:multiLevelType w:val="hybridMultilevel"/>
    <w:tmpl w:val="E2D803AC"/>
    <w:lvl w:ilvl="0" w:tplc="28A486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59082D"/>
    <w:multiLevelType w:val="hybridMultilevel"/>
    <w:tmpl w:val="91420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754390"/>
    <w:multiLevelType w:val="hybridMultilevel"/>
    <w:tmpl w:val="7BF299D6"/>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F7552D"/>
    <w:multiLevelType w:val="hybridMultilevel"/>
    <w:tmpl w:val="AD703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5A56B6"/>
    <w:multiLevelType w:val="hybridMultilevel"/>
    <w:tmpl w:val="4E6E5CF0"/>
    <w:lvl w:ilvl="0" w:tplc="D2E061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187D14"/>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9B6D05"/>
    <w:multiLevelType w:val="hybridMultilevel"/>
    <w:tmpl w:val="FC2E0CBE"/>
    <w:lvl w:ilvl="0" w:tplc="1124D4FA">
      <w:start w:val="1"/>
      <w:numFmt w:val="decimal"/>
      <w:lvlText w:val="%1."/>
      <w:lvlJc w:val="left"/>
      <w:pPr>
        <w:ind w:left="720" w:hanging="360"/>
      </w:pPr>
      <w:rPr>
        <w:b/>
        <w:bCs/>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941251"/>
    <w:multiLevelType w:val="hybridMultilevel"/>
    <w:tmpl w:val="DBA03C4C"/>
    <w:lvl w:ilvl="0" w:tplc="BFE2E13A">
      <w:start w:val="1"/>
      <w:numFmt w:val="lowerLetter"/>
      <w:lvlText w:val="%1."/>
      <w:lvlJc w:val="left"/>
      <w:pPr>
        <w:ind w:left="1080" w:hanging="720"/>
      </w:pPr>
      <w:rPr>
        <w:rFonts w:hint="default"/>
        <w:b/>
        <w:bCs/>
      </w:rPr>
    </w:lvl>
    <w:lvl w:ilvl="1" w:tplc="9998E7A4">
      <w:start w:val="1"/>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6B5DCA"/>
    <w:multiLevelType w:val="hybridMultilevel"/>
    <w:tmpl w:val="97562536"/>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3">
    <w:nsid w:val="438D43AF"/>
    <w:multiLevelType w:val="hybridMultilevel"/>
    <w:tmpl w:val="C2EA0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D81737"/>
    <w:multiLevelType w:val="hybridMultilevel"/>
    <w:tmpl w:val="AAAE8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F704CF"/>
    <w:multiLevelType w:val="hybridMultilevel"/>
    <w:tmpl w:val="3444A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53252E"/>
    <w:multiLevelType w:val="hybridMultilevel"/>
    <w:tmpl w:val="140C5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ED2466"/>
    <w:multiLevelType w:val="hybridMultilevel"/>
    <w:tmpl w:val="B7407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4234CF"/>
    <w:multiLevelType w:val="hybridMultilevel"/>
    <w:tmpl w:val="51662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9E697A"/>
    <w:multiLevelType w:val="hybridMultilevel"/>
    <w:tmpl w:val="8290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9E36F9"/>
    <w:multiLevelType w:val="hybridMultilevel"/>
    <w:tmpl w:val="774E5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8A3B9E"/>
    <w:multiLevelType w:val="hybridMultilevel"/>
    <w:tmpl w:val="B0A41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4E0767"/>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071763"/>
    <w:multiLevelType w:val="hybridMultilevel"/>
    <w:tmpl w:val="C6D68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360DCE"/>
    <w:multiLevelType w:val="hybridMultilevel"/>
    <w:tmpl w:val="7DB4F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6"/>
  </w:num>
  <w:num w:numId="5">
    <w:abstractNumId w:val="11"/>
  </w:num>
  <w:num w:numId="6">
    <w:abstractNumId w:val="10"/>
  </w:num>
  <w:num w:numId="7">
    <w:abstractNumId w:val="4"/>
  </w:num>
  <w:num w:numId="8">
    <w:abstractNumId w:val="16"/>
  </w:num>
  <w:num w:numId="9">
    <w:abstractNumId w:val="13"/>
  </w:num>
  <w:num w:numId="10">
    <w:abstractNumId w:val="0"/>
  </w:num>
  <w:num w:numId="11">
    <w:abstractNumId w:val="5"/>
  </w:num>
  <w:num w:numId="12">
    <w:abstractNumId w:val="14"/>
  </w:num>
  <w:num w:numId="13">
    <w:abstractNumId w:val="7"/>
  </w:num>
  <w:num w:numId="14">
    <w:abstractNumId w:val="12"/>
  </w:num>
  <w:num w:numId="15">
    <w:abstractNumId w:val="15"/>
  </w:num>
  <w:num w:numId="16">
    <w:abstractNumId w:val="3"/>
  </w:num>
  <w:num w:numId="17">
    <w:abstractNumId w:val="23"/>
  </w:num>
  <w:num w:numId="18">
    <w:abstractNumId w:val="17"/>
  </w:num>
  <w:num w:numId="19">
    <w:abstractNumId w:val="20"/>
  </w:num>
  <w:num w:numId="20">
    <w:abstractNumId w:val="21"/>
  </w:num>
  <w:num w:numId="21">
    <w:abstractNumId w:val="24"/>
  </w:num>
  <w:num w:numId="22">
    <w:abstractNumId w:val="18"/>
  </w:num>
  <w:num w:numId="23">
    <w:abstractNumId w:val="19"/>
  </w:num>
  <w:num w:numId="24">
    <w:abstractNumId w:val="2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E9C"/>
    <w:rsid w:val="0006204C"/>
    <w:rsid w:val="000829B7"/>
    <w:rsid w:val="000A6499"/>
    <w:rsid w:val="000E2821"/>
    <w:rsid w:val="00101614"/>
    <w:rsid w:val="001263E5"/>
    <w:rsid w:val="00165890"/>
    <w:rsid w:val="0017783A"/>
    <w:rsid w:val="001A4EAB"/>
    <w:rsid w:val="001E3CBA"/>
    <w:rsid w:val="002034A1"/>
    <w:rsid w:val="00254540"/>
    <w:rsid w:val="002743B3"/>
    <w:rsid w:val="002B1126"/>
    <w:rsid w:val="002C7665"/>
    <w:rsid w:val="002F2434"/>
    <w:rsid w:val="00305443"/>
    <w:rsid w:val="00361066"/>
    <w:rsid w:val="00380578"/>
    <w:rsid w:val="00387A64"/>
    <w:rsid w:val="003A74D8"/>
    <w:rsid w:val="003B6DC6"/>
    <w:rsid w:val="003E3E05"/>
    <w:rsid w:val="0042245E"/>
    <w:rsid w:val="004735D0"/>
    <w:rsid w:val="00493CEC"/>
    <w:rsid w:val="004A701B"/>
    <w:rsid w:val="004B6ADE"/>
    <w:rsid w:val="005450EC"/>
    <w:rsid w:val="005505EF"/>
    <w:rsid w:val="00590119"/>
    <w:rsid w:val="005D37CF"/>
    <w:rsid w:val="005D760D"/>
    <w:rsid w:val="0064711A"/>
    <w:rsid w:val="00655FB3"/>
    <w:rsid w:val="006F214E"/>
    <w:rsid w:val="007B577C"/>
    <w:rsid w:val="007C13AD"/>
    <w:rsid w:val="007E1AD7"/>
    <w:rsid w:val="007E463F"/>
    <w:rsid w:val="00810E3F"/>
    <w:rsid w:val="00814D01"/>
    <w:rsid w:val="00837C81"/>
    <w:rsid w:val="00845DF2"/>
    <w:rsid w:val="0084628C"/>
    <w:rsid w:val="0084691D"/>
    <w:rsid w:val="00857479"/>
    <w:rsid w:val="00883E16"/>
    <w:rsid w:val="008A327A"/>
    <w:rsid w:val="008D739F"/>
    <w:rsid w:val="008E4B5C"/>
    <w:rsid w:val="009134E9"/>
    <w:rsid w:val="00921E07"/>
    <w:rsid w:val="00962F52"/>
    <w:rsid w:val="00997BA6"/>
    <w:rsid w:val="009B1C45"/>
    <w:rsid w:val="009B4A1E"/>
    <w:rsid w:val="009E4D3C"/>
    <w:rsid w:val="009F6773"/>
    <w:rsid w:val="00A00760"/>
    <w:rsid w:val="00A12728"/>
    <w:rsid w:val="00A561A9"/>
    <w:rsid w:val="00A74B65"/>
    <w:rsid w:val="00A85BE1"/>
    <w:rsid w:val="00AA2506"/>
    <w:rsid w:val="00AA5A57"/>
    <w:rsid w:val="00AF0183"/>
    <w:rsid w:val="00AF2DB2"/>
    <w:rsid w:val="00BA29F8"/>
    <w:rsid w:val="00BB2686"/>
    <w:rsid w:val="00BF7180"/>
    <w:rsid w:val="00C71871"/>
    <w:rsid w:val="00C72493"/>
    <w:rsid w:val="00CC305F"/>
    <w:rsid w:val="00CD6F8A"/>
    <w:rsid w:val="00CF4E9C"/>
    <w:rsid w:val="00D164EA"/>
    <w:rsid w:val="00D275DB"/>
    <w:rsid w:val="00D47475"/>
    <w:rsid w:val="00D760D9"/>
    <w:rsid w:val="00D767E6"/>
    <w:rsid w:val="00DB0E94"/>
    <w:rsid w:val="00E02027"/>
    <w:rsid w:val="00E17EAA"/>
    <w:rsid w:val="00E223A5"/>
    <w:rsid w:val="00E24334"/>
    <w:rsid w:val="00E74F51"/>
    <w:rsid w:val="00E81596"/>
    <w:rsid w:val="00E93232"/>
    <w:rsid w:val="00EA6FD1"/>
    <w:rsid w:val="00EE1A7E"/>
    <w:rsid w:val="00F24527"/>
    <w:rsid w:val="00F90738"/>
    <w:rsid w:val="00F9234D"/>
    <w:rsid w:val="00F9352D"/>
    <w:rsid w:val="00F93BB4"/>
    <w:rsid w:val="00F9695A"/>
    <w:rsid w:val="00FA3838"/>
    <w:rsid w:val="00FB294F"/>
    <w:rsid w:val="00FB472C"/>
    <w:rsid w:val="00FF32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83AF046A-F485-4608-A900-5BAF4A443CD5}"/>
  <w:documentProtection w:edit="forms" w:enforcement="true" w:cryptProviderType="rsaFull" w:cryptAlgorithmClass="hash" w:cryptAlgorithmType="typeAny" w:cryptAlgorithmSid="4" w:cryptSpinCount="50000" w:hash="5lZsgAaMmPOBxSybMSsnl3FRjTo=" w:salt="t5Cl9AjygGsm7mwhkssgaw=="/>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fi-FI" w:eastAsia="fi-FI" w:bidi="fi-FI"/>
      </w:rPr>
    </w:rPrDefault>
    <w:pPrDefault>
      <w:pPr>
        <w:spacing w:before="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E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4E9C"/>
    <w:pPr>
      <w:tabs>
        <w:tab w:val="center" w:pos="4680"/>
        <w:tab w:val="right" w:pos="9360"/>
      </w:tabs>
      <w:spacing w:before="0"/>
    </w:pPr>
  </w:style>
  <w:style w:type="character" w:customStyle="1" w:styleId="HeaderChar">
    <w:name w:val="Header Char"/>
    <w:basedOn w:val="DefaultParagraphFont"/>
    <w:link w:val="Header"/>
    <w:uiPriority w:val="99"/>
    <w:rsid w:val="00CF4E9C"/>
  </w:style>
  <w:style w:type="paragraph" w:styleId="Footer">
    <w:name w:val="footer"/>
    <w:basedOn w:val="Normal"/>
    <w:link w:val="FooterChar"/>
    <w:uiPriority w:val="99"/>
    <w:unhideWhenUsed/>
    <w:rsid w:val="00CF4E9C"/>
    <w:pPr>
      <w:tabs>
        <w:tab w:val="center" w:pos="4680"/>
        <w:tab w:val="right" w:pos="9360"/>
      </w:tabs>
      <w:spacing w:before="0"/>
    </w:pPr>
  </w:style>
  <w:style w:type="character" w:customStyle="1" w:styleId="FooterChar">
    <w:name w:val="Footer Char"/>
    <w:basedOn w:val="DefaultParagraphFont"/>
    <w:link w:val="Footer"/>
    <w:uiPriority w:val="99"/>
    <w:rsid w:val="00CF4E9C"/>
  </w:style>
  <w:style w:type="table" w:styleId="TableGrid">
    <w:name w:val="Table Grid"/>
    <w:basedOn w:val="TableNormal"/>
    <w:uiPriority w:val="59"/>
    <w:rsid w:val="00CF4E9C"/>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4E9C"/>
    <w:pPr>
      <w:ind w:left="720"/>
      <w:contextualSpacing/>
    </w:pPr>
  </w:style>
  <w:style w:type="paragraph" w:styleId="BalloonText">
    <w:name w:val="Balloon Text"/>
    <w:basedOn w:val="Normal"/>
    <w:link w:val="BalloonTextChar"/>
    <w:uiPriority w:val="99"/>
    <w:semiHidden/>
    <w:unhideWhenUsed/>
    <w:rsid w:val="00E17EA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EAA"/>
    <w:rPr>
      <w:rFonts w:ascii="Tahoma" w:hAnsi="Tahoma" w:cs="Tahoma"/>
      <w:sz w:val="16"/>
      <w:szCs w:val="16"/>
    </w:rPr>
  </w:style>
  <w:style w:type="character" w:styleId="CommentReference">
    <w:name w:val="annotation reference"/>
    <w:basedOn w:val="DefaultParagraphFont"/>
    <w:uiPriority w:val="99"/>
    <w:semiHidden/>
    <w:unhideWhenUsed/>
    <w:rsid w:val="002B1126"/>
    <w:rPr>
      <w:sz w:val="16"/>
      <w:szCs w:val="16"/>
    </w:rPr>
  </w:style>
  <w:style w:type="paragraph" w:styleId="CommentText">
    <w:name w:val="annotation text"/>
    <w:basedOn w:val="Normal"/>
    <w:link w:val="CommentTextChar"/>
    <w:uiPriority w:val="99"/>
    <w:semiHidden/>
    <w:unhideWhenUsed/>
    <w:rsid w:val="002B1126"/>
  </w:style>
  <w:style w:type="character" w:customStyle="1" w:styleId="CommentTextChar">
    <w:name w:val="Comment Text Char"/>
    <w:basedOn w:val="DefaultParagraphFont"/>
    <w:link w:val="CommentText"/>
    <w:uiPriority w:val="99"/>
    <w:semiHidden/>
    <w:rsid w:val="002B1126"/>
  </w:style>
  <w:style w:type="paragraph" w:styleId="CommentSubject">
    <w:name w:val="annotation subject"/>
    <w:basedOn w:val="CommentText"/>
    <w:next w:val="CommentText"/>
    <w:link w:val="CommentSubjectChar"/>
    <w:uiPriority w:val="99"/>
    <w:semiHidden/>
    <w:unhideWhenUsed/>
    <w:rsid w:val="002B1126"/>
    <w:rPr>
      <w:b/>
      <w:bCs/>
    </w:rPr>
  </w:style>
  <w:style w:type="character" w:customStyle="1" w:styleId="CommentSubjectChar">
    <w:name w:val="Comment Subject Char"/>
    <w:basedOn w:val="CommentTextChar"/>
    <w:link w:val="CommentSubject"/>
    <w:uiPriority w:val="99"/>
    <w:semiHidden/>
    <w:rsid w:val="002B1126"/>
    <w:rPr>
      <w:b/>
      <w:bCs/>
    </w:rPr>
  </w:style>
  <w:style w:type="paragraph" w:styleId="Revision">
    <w:name w:val="Revision"/>
    <w:hidden/>
    <w:uiPriority w:val="99"/>
    <w:semiHidden/>
    <w:rsid w:val="002B1126"/>
    <w:pPr>
      <w:spacing w:before="0"/>
      <w:jc w:val="left"/>
    </w:pPr>
  </w:style>
  <w:style w:type="character" w:customStyle="1" w:styleId="LogoportDoNotTranslate">
    <w:name w:val="LogoportDoNotTranslate"/>
    <w:basedOn w:val="DefaultParagraphFont"/>
    <w:rsid w:val="00D767E6"/>
    <w:rPr>
      <w:rFonts w:ascii="Courier New" w:hAnsi="Courier New" w:cs="Courier New"/>
      <w:b w:val="0"/>
      <w:color w:val="808080"/>
      <w:sz w:val="18"/>
      <w:szCs w:val="36"/>
    </w:rPr>
  </w:style>
  <w:style w:type="character" w:customStyle="1" w:styleId="LogoportMarkup">
    <w:name w:val="LogoportMarkup"/>
    <w:basedOn w:val="DefaultParagraphFont"/>
    <w:rsid w:val="00D767E6"/>
    <w:rPr>
      <w:rFonts w:ascii="Courier New" w:hAnsi="Courier New" w:cs="Courier New"/>
      <w:b w:val="0"/>
      <w:color w:val="FF0000"/>
      <w:sz w:val="18"/>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279822">
      <w:bodyDiv w:val="1"/>
      <w:marLeft w:val="0"/>
      <w:marRight w:val="0"/>
      <w:marTop w:val="0"/>
      <w:marBottom w:val="0"/>
      <w:divBdr>
        <w:top w:val="none" w:sz="0" w:space="0" w:color="auto"/>
        <w:left w:val="none" w:sz="0" w:space="0" w:color="auto"/>
        <w:bottom w:val="none" w:sz="0" w:space="0" w:color="auto"/>
        <w:right w:val="none" w:sz="0" w:space="0" w:color="auto"/>
      </w:divBdr>
    </w:div>
    <w:div w:id="1195996739">
      <w:bodyDiv w:val="1"/>
      <w:marLeft w:val="0"/>
      <w:marRight w:val="0"/>
      <w:marTop w:val="0"/>
      <w:marBottom w:val="0"/>
      <w:divBdr>
        <w:top w:val="none" w:sz="0" w:space="0" w:color="auto"/>
        <w:left w:val="none" w:sz="0" w:space="0" w:color="auto"/>
        <w:bottom w:val="none" w:sz="0" w:space="0" w:color="auto"/>
        <w:right w:val="none" w:sz="0" w:space="0" w:color="auto"/>
      </w:divBdr>
    </w:div>
    <w:div w:id="142576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3CBE26B4809B48B6FDD40945FAE36D" ma:contentTypeVersion="1" ma:contentTypeDescription="Create a new document." ma:contentTypeScope="" ma:versionID="c8ff207410a71e57fb3aceb19d6e4345">
  <xsd:schema xmlns:xsd="http://www.w3.org/2001/XMLSchema" xmlns:xs="http://www.w3.org/2001/XMLSchema" xmlns:p="http://schemas.microsoft.com/office/2006/metadata/properties" xmlns:ns3="230e9df3-be65-4c73-a93b-d1236ebd677e" xmlns:ns4="452e1114-74f1-45d8-9bf6-76ca7629084e" targetNamespace="http://schemas.microsoft.com/office/2006/metadata/properties" ma:root="true" ma:fieldsID="82c80b5bb567105c0f0d7b2fba03a6ad" ns3:_="" ns4:_="">
    <xsd:import namespace="230e9df3-be65-4c73-a93b-d1236ebd677e"/>
    <xsd:import namespace="452e1114-74f1-45d8-9bf6-76ca7629084e"/>
    <xsd:element name="properties">
      <xsd:complexType>
        <xsd:sequence>
          <xsd:element name="documentManagement">
            <xsd:complexType>
              <xsd:all>
                <xsd:element ref="ns3:TaxKeywordTaxHTField" minOccurs="0"/>
                <xsd:element ref="ns3:TaxCatchAll" minOccurs="0"/>
                <xsd:element ref="ns3:TaxCatchAllLabel"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e385fb40-52d4-4fae-9c5b-3e8ff8a5878e"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15bd4417-ae62-4ca1-ac11-a7df9af4aa7d}" ma:internalName="TaxCatchAll" ma:showField="CatchAllData" ma:web="452e1114-74f1-45d8-9bf6-76ca7629084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5bd4417-ae62-4ca1-ac11-a7df9af4aa7d}" ma:internalName="TaxCatchAllLabel" ma:readOnly="true" ma:showField="CatchAllDataLabel" ma:web="452e1114-74f1-45d8-9bf6-76ca762908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2e1114-74f1-45d8-9bf6-76ca762908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230e9df3-be65-4c73-a93b-d1236ebd677e">
      <Terms xmlns="http://schemas.microsoft.com/office/infopath/2007/PartnerControls"/>
    </TaxKeywordTaxHTField>
    <TaxCatchAll xmlns="230e9df3-be65-4c73-a93b-d1236ebd677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6B83B-EBBD-469A-ADA1-BA8B76AEA179}">
  <ds:schemaRefs>
    <ds:schemaRef ds:uri="http://schemas.microsoft.com/sharepoint/v3/contenttype/forms"/>
  </ds:schemaRefs>
</ds:datastoreItem>
</file>

<file path=customXml/itemProps2.xml><?xml version="1.0" encoding="utf-8"?>
<ds:datastoreItem xmlns:ds="http://schemas.openxmlformats.org/officeDocument/2006/customXml" ds:itemID="{CD7AE154-7E54-4494-A60B-7E9023D82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e9df3-be65-4c73-a93b-d1236ebd677e"/>
    <ds:schemaRef ds:uri="452e1114-74f1-45d8-9bf6-76ca76290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2768FF-E4F0-4EB2-AFE0-E10521E886F3}">
  <ds:schemaRefs>
    <ds:schemaRef ds:uri="http://schemas.microsoft.com/office/2006/metadata/properties"/>
    <ds:schemaRef ds:uri="http://schemas.microsoft.com/office/infopath/2007/PartnerControls"/>
    <ds:schemaRef ds:uri="230e9df3-be65-4c73-a93b-d1236ebd677e"/>
  </ds:schemaRefs>
</ds:datastoreItem>
</file>

<file path=customXml/itemProps4.xml><?xml version="1.0" encoding="utf-8"?>
<ds:datastoreItem xmlns:ds="http://schemas.openxmlformats.org/officeDocument/2006/customXml" ds:itemID="{BB2FE540-23FE-4EFE-AB18-2E034CF36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Xtreme Consulting Group, Inc.</Company>
  <LinksUpToDate>false</LinksUpToDate>
  <CharactersWithSpaces>4634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Alexandra Myles (Inviso)</cp:lastModifiedBy>
  <cp:revision>37</cp:revision>
  <cp:lastPrinted>2014-09-29T17:00:00Z</cp:lastPrinted>
  <dcterms:created xsi:type="dcterms:W3CDTF">2014-09-05T03:56:00Z</dcterms:created>
  <dcterms:modified xsi:type="dcterms:W3CDTF">2014-10-07T18:26:00Z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3014e742-e357-48ab-90db-c29bcec68fbb</vt:lpwstr>
  </property>
  <property fmtid="{D5CDD505-2E9C-101B-9397-08002B2CF9AE}" pid="3" name="ContentTypeId">
    <vt:lpwstr>0x010100163CBE26B4809B48B6FDD40945FAE36D</vt:lpwstr>
  </property>
  <property fmtid="{D5CDD505-2E9C-101B-9397-08002B2CF9AE}" pid="4" name="TemplateUrl">
    <vt:lpwstr/>
  </property>
  <property fmtid="{D5CDD505-2E9C-101B-9397-08002B2CF9AE}" pid="5" name="Order">
    <vt:r8>12113900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IsMyDocuments">
    <vt:bool>true</vt:bool>
  </property>
  <property fmtid="{D5CDD505-2E9C-101B-9397-08002B2CF9AE}" pid="11" name="TaxKeyword">
    <vt:lpwstr/>
  </property>
</Properties>
</file>