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CD06A3" w:rsidRDefault="00CF4E9C" w:rsidP="00BB2686">
      <w:pPr>
        <w:spacing w:before="240"/>
        <w:jc w:val="left"/>
        <w:rPr>
          <w:sz w:val="36"/>
          <w:szCs w:val="36"/>
        </w:rPr>
        <w:sectPr w:rsidR="00BB2686" w:rsidRPr="00CD06A3"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CD06A3">
        <w:rPr>
          <w:sz w:val="36"/>
          <w:szCs w:val="36"/>
        </w:rPr>
        <w:t>Définition de Gouvernement Éligible Microsoft (EMEA)</w:t>
      </w:r>
    </w:p>
    <w:p w:rsidR="00CF4E9C" w:rsidRPr="00CD06A3" w:rsidRDefault="002B1126" w:rsidP="00883E16">
      <w:pPr>
        <w:spacing w:before="360" w:after="120"/>
      </w:pPr>
      <w:r w:rsidRPr="00CD06A3">
        <w:lastRenderedPageBreak/>
        <w:t xml:space="preserve">Les organisations du secteur public relevant des catégories ou répondant aux critères définis et décrits ci-dessous (les « entités éligibles ») peuvent participer aux programmes de licence en volume Microsoft </w:t>
      </w:r>
      <w:r w:rsidR="003257ED" w:rsidRPr="00CD06A3">
        <w:t xml:space="preserve">spécifiques au secteur public. </w:t>
      </w:r>
      <w:r w:rsidRPr="00CD06A3">
        <w:t>Une « entité éligible » désigne toute entreprise à but non lucratif qui entre dans l</w:t>
      </w:r>
      <w:r w:rsidR="00917124" w:rsidRPr="00CD06A3">
        <w:t>’</w:t>
      </w:r>
      <w:r w:rsidRPr="00CD06A3">
        <w:t xml:space="preserve">une des catégories suivantes : </w:t>
      </w:r>
    </w:p>
    <w:tbl>
      <w:tblPr>
        <w:tblStyle w:val="TableGrid"/>
        <w:tblW w:w="9029" w:type="dxa"/>
        <w:jc w:val="center"/>
        <w:tblLook w:val="04A0" w:firstRow="1" w:lastRow="0" w:firstColumn="1" w:lastColumn="0" w:noHBand="0" w:noVBand="1"/>
      </w:tblPr>
      <w:tblGrid>
        <w:gridCol w:w="3403"/>
        <w:gridCol w:w="5626"/>
      </w:tblGrid>
      <w:tr w:rsidR="00CF4E9C" w:rsidRPr="00CD06A3" w:rsidTr="00165890">
        <w:trPr>
          <w:cantSplit/>
          <w:tblHeader/>
          <w:jc w:val="center"/>
        </w:trPr>
        <w:tc>
          <w:tcPr>
            <w:tcW w:w="9029" w:type="dxa"/>
            <w:gridSpan w:val="2"/>
            <w:shd w:val="clear" w:color="auto" w:fill="000000" w:themeFill="text1"/>
          </w:tcPr>
          <w:p w:rsidR="00CF4E9C" w:rsidRPr="00CD06A3" w:rsidRDefault="00CF4E9C" w:rsidP="00883E16">
            <w:pPr>
              <w:keepNext/>
              <w:spacing w:before="120" w:after="120"/>
              <w:rPr>
                <w:b/>
                <w:bCs/>
                <w:color w:val="FFFFFF" w:themeColor="background1"/>
              </w:rPr>
            </w:pPr>
            <w:r w:rsidRPr="00CD06A3">
              <w:rPr>
                <w:b/>
                <w:bCs/>
                <w:color w:val="FFFFFF" w:themeColor="background1"/>
              </w:rPr>
              <w:t>Catégories</w:t>
            </w:r>
          </w:p>
        </w:tc>
      </w:tr>
      <w:tr w:rsidR="00CF4E9C" w:rsidRPr="00CD06A3" w:rsidTr="00847416">
        <w:trPr>
          <w:cantSplit/>
          <w:tblHeader/>
          <w:jc w:val="center"/>
        </w:trPr>
        <w:tc>
          <w:tcPr>
            <w:tcW w:w="3403" w:type="dxa"/>
            <w:vAlign w:val="center"/>
          </w:tcPr>
          <w:p w:rsidR="00CF4E9C" w:rsidRPr="00CD06A3" w:rsidRDefault="00CF4E9C" w:rsidP="00883E16">
            <w:pPr>
              <w:spacing w:before="120" w:after="120"/>
              <w:jc w:val="left"/>
              <w:rPr>
                <w:b/>
                <w:bCs/>
              </w:rPr>
            </w:pPr>
            <w:r w:rsidRPr="00CD06A3">
              <w:rPr>
                <w:b/>
                <w:bCs/>
              </w:rPr>
              <w:t>A. Supranational</w:t>
            </w:r>
          </w:p>
        </w:tc>
        <w:tc>
          <w:tcPr>
            <w:tcW w:w="5626" w:type="dxa"/>
            <w:vAlign w:val="center"/>
          </w:tcPr>
          <w:p w:rsidR="00CF4E9C" w:rsidRPr="00CD06A3" w:rsidRDefault="00CF4E9C" w:rsidP="00883E16">
            <w:pPr>
              <w:spacing w:before="120" w:after="120"/>
            </w:pPr>
            <w:r w:rsidRPr="00CD06A3">
              <w:t>Entreprises/établissements qui jouent un rôle d</w:t>
            </w:r>
            <w:r w:rsidR="00917124" w:rsidRPr="00CD06A3">
              <w:t>’</w:t>
            </w:r>
            <w:r w:rsidRPr="00CD06A3">
              <w:t>intermédiaire réglementaire ou législatif manifeste entre plusieurs gouvernements nationaux.</w:t>
            </w:r>
          </w:p>
        </w:tc>
      </w:tr>
      <w:tr w:rsidR="00CF4E9C" w:rsidRPr="00CD06A3" w:rsidTr="00847416">
        <w:trPr>
          <w:cantSplit/>
          <w:tblHeader/>
          <w:jc w:val="center"/>
        </w:trPr>
        <w:tc>
          <w:tcPr>
            <w:tcW w:w="3403" w:type="dxa"/>
            <w:vAlign w:val="center"/>
          </w:tcPr>
          <w:p w:rsidR="00CF4E9C" w:rsidRPr="00CD06A3" w:rsidRDefault="00CF4E9C" w:rsidP="00883E16">
            <w:pPr>
              <w:spacing w:before="120" w:after="120"/>
              <w:jc w:val="left"/>
              <w:rPr>
                <w:b/>
                <w:bCs/>
              </w:rPr>
            </w:pPr>
            <w:r w:rsidRPr="00CD06A3">
              <w:rPr>
                <w:b/>
                <w:bCs/>
              </w:rPr>
              <w:t>B. National / Fédéral</w:t>
            </w:r>
          </w:p>
        </w:tc>
        <w:tc>
          <w:tcPr>
            <w:tcW w:w="5626" w:type="dxa"/>
            <w:vAlign w:val="center"/>
          </w:tcPr>
          <w:p w:rsidR="00CF4E9C" w:rsidRPr="00CD06A3" w:rsidRDefault="00CF4E9C" w:rsidP="00883E16">
            <w:pPr>
              <w:spacing w:before="120" w:after="120"/>
            </w:pPr>
            <w:r w:rsidRPr="00CD06A3">
              <w:t>Entreprises/établissements publics qui sont administrés au niveau fédéral/national, et qui ont pour mission d</w:t>
            </w:r>
            <w:r w:rsidR="003257ED" w:rsidRPr="00CD06A3">
              <w:t>e gouverner un État ou un pays.</w:t>
            </w:r>
            <w:r w:rsidRPr="00CD06A3">
              <w:t xml:space="preserve"> Cela inclut les instances parlementaires et judiciaires qui ont pour compétence de définir ou de statuer sur les règles de droit.</w:t>
            </w:r>
          </w:p>
        </w:tc>
      </w:tr>
      <w:tr w:rsidR="00CF4E9C" w:rsidRPr="00CD06A3" w:rsidTr="00847416">
        <w:trPr>
          <w:cantSplit/>
          <w:tblHeader/>
          <w:jc w:val="center"/>
        </w:trPr>
        <w:tc>
          <w:tcPr>
            <w:tcW w:w="3403" w:type="dxa"/>
            <w:vAlign w:val="center"/>
          </w:tcPr>
          <w:p w:rsidR="00CF4E9C" w:rsidRPr="00CD06A3" w:rsidRDefault="00CF4E9C" w:rsidP="00883E16">
            <w:pPr>
              <w:spacing w:before="120" w:after="120"/>
              <w:jc w:val="left"/>
              <w:rPr>
                <w:b/>
                <w:bCs/>
              </w:rPr>
            </w:pPr>
            <w:r w:rsidRPr="00CD06A3">
              <w:rPr>
                <w:b/>
                <w:bCs/>
              </w:rPr>
              <w:t>C. Régional / Étatique / Provincial</w:t>
            </w:r>
          </w:p>
        </w:tc>
        <w:tc>
          <w:tcPr>
            <w:tcW w:w="5626" w:type="dxa"/>
            <w:vAlign w:val="center"/>
          </w:tcPr>
          <w:p w:rsidR="00CF4E9C" w:rsidRPr="00CD06A3" w:rsidRDefault="00CF4E9C" w:rsidP="00883E16">
            <w:pPr>
              <w:spacing w:before="120" w:after="120"/>
            </w:pPr>
            <w:r w:rsidRPr="00CD06A3">
              <w:t>Niveau intermédiaire de Gouvernement qui ne couvre pas l</w:t>
            </w:r>
            <w:r w:rsidR="00917124" w:rsidRPr="00CD06A3">
              <w:t>’</w:t>
            </w:r>
            <w:r w:rsidRPr="00CD06A3">
              <w:t>ensemble d</w:t>
            </w:r>
            <w:r w:rsidR="00917124" w:rsidRPr="00CD06A3">
              <w:t>’</w:t>
            </w:r>
            <w:r w:rsidRPr="00CD06A3">
              <w:t>un pays mais dispose de plusieurs domaines d</w:t>
            </w:r>
            <w:r w:rsidR="00917124" w:rsidRPr="00CD06A3">
              <w:t>’</w:t>
            </w:r>
            <w:r w:rsidRPr="00CD06A3">
              <w:t>administration locale au sein de sa compétence. Il s</w:t>
            </w:r>
            <w:r w:rsidR="00917124" w:rsidRPr="00CD06A3">
              <w:t>’</w:t>
            </w:r>
            <w:r w:rsidRPr="00CD06A3">
              <w:t>agit notamment (1) des entreprises/établissements qui sont administrés au niveau de l</w:t>
            </w:r>
            <w:r w:rsidR="00917124" w:rsidRPr="00CD06A3">
              <w:t>’</w:t>
            </w:r>
            <w:r w:rsidRPr="00CD06A3">
              <w:t>État ou de la région, et connus sous divers noms : régions, départements, États, länder, comtés ou provinces ; et (2) les départements, instances parlementaires, autorités réglementaires et instances judiciaires qui ont pour compétence de définir ou de statuer sur les règles de droit dans la région, le département, l</w:t>
            </w:r>
            <w:r w:rsidR="00917124" w:rsidRPr="00CD06A3">
              <w:t>’</w:t>
            </w:r>
            <w:r w:rsidRPr="00CD06A3">
              <w:t>État, le land, le comté ou la province concerné(e).</w:t>
            </w:r>
          </w:p>
        </w:tc>
      </w:tr>
      <w:tr w:rsidR="00CF4E9C" w:rsidRPr="00CD06A3" w:rsidTr="00847416">
        <w:trPr>
          <w:cantSplit/>
          <w:tblHeader/>
          <w:jc w:val="center"/>
        </w:trPr>
        <w:tc>
          <w:tcPr>
            <w:tcW w:w="3403" w:type="dxa"/>
            <w:vAlign w:val="center"/>
          </w:tcPr>
          <w:p w:rsidR="00CF4E9C" w:rsidRPr="00CD06A3" w:rsidRDefault="00CF4E9C" w:rsidP="00883E16">
            <w:pPr>
              <w:spacing w:before="120" w:after="120"/>
              <w:jc w:val="left"/>
              <w:rPr>
                <w:b/>
                <w:bCs/>
              </w:rPr>
            </w:pPr>
            <w:r w:rsidRPr="00CD06A3">
              <w:rPr>
                <w:b/>
                <w:bCs/>
              </w:rPr>
              <w:t>D. Local / Municipal</w:t>
            </w:r>
          </w:p>
        </w:tc>
        <w:tc>
          <w:tcPr>
            <w:tcW w:w="5626" w:type="dxa"/>
            <w:vAlign w:val="center"/>
          </w:tcPr>
          <w:p w:rsidR="00CF4E9C" w:rsidRPr="00CD06A3" w:rsidRDefault="00CF4E9C" w:rsidP="00883E16">
            <w:pPr>
              <w:spacing w:before="120" w:after="120"/>
            </w:pPr>
            <w:r w:rsidRPr="00CD06A3">
              <w:t>Plus bas niveau de Gouvernement et d</w:t>
            </w:r>
            <w:r w:rsidR="00917124" w:rsidRPr="00CD06A3">
              <w:t>’</w:t>
            </w:r>
            <w:r w:rsidRPr="00CD06A3">
              <w:t>administration associée. Il s</w:t>
            </w:r>
            <w:r w:rsidR="00917124" w:rsidRPr="00CD06A3">
              <w:t>’</w:t>
            </w:r>
            <w:r w:rsidRPr="00CD06A3">
              <w:t>agit notamment des entreprises/établissements publics qui sont administrés au niveau de la ville, du quartier, de la municipalité, du village, de la commune et de la circonscription, (par exemple, loisirs, collecte des ordures, sapeurs-pompiers, contrôle des services locaux, et mise en œuvre de certains services nationaux).</w:t>
            </w:r>
          </w:p>
        </w:tc>
      </w:tr>
      <w:tr w:rsidR="00CF4E9C" w:rsidRPr="00CD06A3" w:rsidTr="00847416">
        <w:trPr>
          <w:cantSplit/>
          <w:tblHeader/>
          <w:jc w:val="center"/>
        </w:trPr>
        <w:tc>
          <w:tcPr>
            <w:tcW w:w="3403" w:type="dxa"/>
            <w:vAlign w:val="center"/>
          </w:tcPr>
          <w:p w:rsidR="00CF4E9C" w:rsidRPr="00CD06A3" w:rsidRDefault="00CF4E9C" w:rsidP="00883E16">
            <w:pPr>
              <w:spacing w:before="120" w:after="120"/>
              <w:jc w:val="left"/>
              <w:rPr>
                <w:b/>
                <w:bCs/>
              </w:rPr>
            </w:pPr>
            <w:r w:rsidRPr="00CD06A3">
              <w:rPr>
                <w:b/>
                <w:bCs/>
              </w:rPr>
              <w:t>E. Santé</w:t>
            </w:r>
          </w:p>
        </w:tc>
        <w:tc>
          <w:tcPr>
            <w:tcW w:w="5626" w:type="dxa"/>
            <w:vAlign w:val="center"/>
          </w:tcPr>
          <w:p w:rsidR="00CF4E9C" w:rsidRPr="00CD06A3" w:rsidRDefault="00CF4E9C" w:rsidP="00883E16">
            <w:pPr>
              <w:spacing w:before="120" w:after="120"/>
            </w:pPr>
            <w:r w:rsidRPr="00CD06A3">
              <w:t>Entreprises/établissements publics qui fournissent des services de santé et en assurent la couverture, et définissent ou statuent sur la politique en matière de santé d</w:t>
            </w:r>
            <w:r w:rsidR="00917124" w:rsidRPr="00CD06A3">
              <w:t>’</w:t>
            </w:r>
            <w:r w:rsidRPr="00CD06A3">
              <w:t>un État ou d</w:t>
            </w:r>
            <w:r w:rsidR="00917124" w:rsidRPr="00CD06A3">
              <w:t>’</w:t>
            </w:r>
            <w:r w:rsidRPr="00CD06A3">
              <w:t>un pays, mettent à disposition des fonds pour les services de santé et leur couverture, ou ont un rôle réglementaire en ce qui concerne les services de santé et leur couverture.</w:t>
            </w:r>
          </w:p>
        </w:tc>
      </w:tr>
      <w:tr w:rsidR="00CF4E9C" w:rsidRPr="00CD06A3" w:rsidTr="00847416">
        <w:trPr>
          <w:cantSplit/>
          <w:tblHeader/>
          <w:jc w:val="center"/>
        </w:trPr>
        <w:tc>
          <w:tcPr>
            <w:tcW w:w="3403" w:type="dxa"/>
            <w:vAlign w:val="center"/>
          </w:tcPr>
          <w:p w:rsidR="00CF4E9C" w:rsidRPr="00CD06A3" w:rsidRDefault="00CF4E9C" w:rsidP="00883E16">
            <w:pPr>
              <w:spacing w:before="120" w:after="120"/>
              <w:jc w:val="left"/>
              <w:rPr>
                <w:b/>
                <w:bCs/>
              </w:rPr>
            </w:pPr>
            <w:r w:rsidRPr="00CD06A3">
              <w:rPr>
                <w:b/>
                <w:bCs/>
              </w:rPr>
              <w:t>F. Autres entreprises publiques</w:t>
            </w:r>
          </w:p>
        </w:tc>
        <w:tc>
          <w:tcPr>
            <w:tcW w:w="5626" w:type="dxa"/>
            <w:vAlign w:val="center"/>
          </w:tcPr>
          <w:p w:rsidR="00CF4E9C" w:rsidRPr="00CD06A3" w:rsidRDefault="00CF4E9C" w:rsidP="00883E16">
            <w:pPr>
              <w:spacing w:before="120" w:after="120"/>
            </w:pPr>
            <w:r w:rsidRPr="00CD06A3">
              <w:t>Toute entreprise qui est singulièrement responsable devant un Gouvernement reconnu au niveau international et contrôlée en fin de compte par celui-ci.</w:t>
            </w:r>
          </w:p>
          <w:p w:rsidR="00AA5A57" w:rsidRPr="00CD06A3" w:rsidRDefault="00AA5A57" w:rsidP="00847416">
            <w:pPr>
              <w:spacing w:after="120"/>
            </w:pPr>
            <w:r w:rsidRPr="00CD06A3">
              <w:t>Toute entreprise créée par la législation à des fins publiques tel que décrit dans la législation concernée ou les articles concernant l</w:t>
            </w:r>
            <w:r w:rsidR="00917124" w:rsidRPr="00CD06A3">
              <w:t>’</w:t>
            </w:r>
            <w:r w:rsidRPr="00CD06A3">
              <w:t>association/les objectifs de cette entreprise (par</w:t>
            </w:r>
            <w:r w:rsidR="00847416" w:rsidRPr="00CD06A3">
              <w:t> </w:t>
            </w:r>
            <w:r w:rsidRPr="00CD06A3">
              <w:t xml:space="preserve">exemple, comités/conseils statutaires, autorités locales, instituts de recherche publics). </w:t>
            </w:r>
          </w:p>
        </w:tc>
      </w:tr>
    </w:tbl>
    <w:p w:rsidR="00CF4E9C" w:rsidRPr="00CD06A3" w:rsidRDefault="00CF4E9C" w:rsidP="00883E16">
      <w:r w:rsidRPr="00CD06A3">
        <w:lastRenderedPageBreak/>
        <w:t>Si une entreprise à but lucratif entre dans l</w:t>
      </w:r>
      <w:r w:rsidR="00917124" w:rsidRPr="00CD06A3">
        <w:t>’</w:t>
      </w:r>
      <w:r w:rsidRPr="00CD06A3">
        <w:t>une des catégories ci-dessus, les critères supplémentaires suivants s</w:t>
      </w:r>
      <w:r w:rsidR="00917124" w:rsidRPr="00CD06A3">
        <w:t>’</w:t>
      </w:r>
      <w:r w:rsidRPr="00CD06A3">
        <w:t>appliquent afin de déterminer si elle est une entité éligible :</w:t>
      </w:r>
    </w:p>
    <w:p w:rsidR="00CF4E9C" w:rsidRPr="00CD06A3" w:rsidRDefault="00CF4E9C" w:rsidP="00883E16">
      <w:pPr>
        <w:pStyle w:val="ListParagraph"/>
        <w:numPr>
          <w:ilvl w:val="0"/>
          <w:numId w:val="1"/>
        </w:numPr>
        <w:ind w:left="1080"/>
        <w:contextualSpacing w:val="0"/>
      </w:pPr>
      <w:r w:rsidRPr="00CD06A3">
        <w:t>Le chiffre d</w:t>
      </w:r>
      <w:r w:rsidR="00917124" w:rsidRPr="00CD06A3">
        <w:t>’</w:t>
      </w:r>
      <w:r w:rsidRPr="00CD06A3">
        <w:t>affaires/les bénéfices reviennent-ils uniquement au gouvernement (ou</w:t>
      </w:r>
      <w:r w:rsidR="00847416" w:rsidRPr="00CD06A3">
        <w:t> </w:t>
      </w:r>
      <w:r w:rsidRPr="00CD06A3">
        <w:t>également à des actionnaires privés) ?</w:t>
      </w:r>
    </w:p>
    <w:p w:rsidR="00CF4E9C" w:rsidRPr="00CD06A3" w:rsidRDefault="00CF4E9C" w:rsidP="00883E16">
      <w:pPr>
        <w:pStyle w:val="ListParagraph"/>
        <w:numPr>
          <w:ilvl w:val="0"/>
          <w:numId w:val="1"/>
        </w:numPr>
        <w:ind w:left="1080"/>
        <w:contextualSpacing w:val="0"/>
      </w:pPr>
      <w:r w:rsidRPr="00CD06A3">
        <w:t>L</w:t>
      </w:r>
      <w:r w:rsidR="00917124" w:rsidRPr="00CD06A3">
        <w:t>’</w:t>
      </w:r>
      <w:r w:rsidRPr="00CD06A3">
        <w:t>entreprise concernée est-elle exemptée d</w:t>
      </w:r>
      <w:r w:rsidR="00917124" w:rsidRPr="00CD06A3">
        <w:t>’</w:t>
      </w:r>
      <w:r w:rsidRPr="00CD06A3">
        <w:t>impôt sur les sociétés ?</w:t>
      </w:r>
    </w:p>
    <w:p w:rsidR="00CF4E9C" w:rsidRPr="00CD06A3" w:rsidRDefault="00CF4E9C" w:rsidP="00883E16">
      <w:pPr>
        <w:pStyle w:val="ListParagraph"/>
        <w:numPr>
          <w:ilvl w:val="0"/>
          <w:numId w:val="1"/>
        </w:numPr>
        <w:ind w:left="1080"/>
        <w:contextualSpacing w:val="0"/>
      </w:pPr>
      <w:r w:rsidRPr="00CD06A3">
        <w:t>L</w:t>
      </w:r>
      <w:r w:rsidR="00917124" w:rsidRPr="00CD06A3">
        <w:t>’</w:t>
      </w:r>
      <w:r w:rsidRPr="00CD06A3">
        <w:t>entreprise est-elle financée à plus de 50 % par le gouvernement (c</w:t>
      </w:r>
      <w:r w:rsidR="00917124" w:rsidRPr="00CD06A3">
        <w:t>’</w:t>
      </w:r>
      <w:r w:rsidRPr="00CD06A3">
        <w:t>est-à-dire, est-ce que moins de 50 % de son financement provient de ses activités commerciales) ?</w:t>
      </w:r>
    </w:p>
    <w:p w:rsidR="00CF4E9C" w:rsidRPr="00CD06A3" w:rsidRDefault="00CF4E9C" w:rsidP="00883E16">
      <w:pPr>
        <w:rPr>
          <w:spacing w:val="-2"/>
        </w:rPr>
      </w:pPr>
      <w:r w:rsidRPr="00CD06A3">
        <w:rPr>
          <w:spacing w:val="-2"/>
        </w:rPr>
        <w:t>Si la réponse à toutes ces questions est « oui », l</w:t>
      </w:r>
      <w:r w:rsidR="00917124" w:rsidRPr="00CD06A3">
        <w:rPr>
          <w:spacing w:val="-2"/>
        </w:rPr>
        <w:t>’</w:t>
      </w:r>
      <w:r w:rsidRPr="00CD06A3">
        <w:rPr>
          <w:spacing w:val="-2"/>
        </w:rPr>
        <w:t>entreprise est une entité éligible. Si la réponse à</w:t>
      </w:r>
      <w:r w:rsidR="00847416" w:rsidRPr="00CD06A3">
        <w:rPr>
          <w:spacing w:val="-2"/>
        </w:rPr>
        <w:t> </w:t>
      </w:r>
      <w:r w:rsidRPr="00CD06A3">
        <w:rPr>
          <w:spacing w:val="-2"/>
        </w:rPr>
        <w:t>l</w:t>
      </w:r>
      <w:r w:rsidR="00917124" w:rsidRPr="00CD06A3">
        <w:rPr>
          <w:spacing w:val="-2"/>
        </w:rPr>
        <w:t>’</w:t>
      </w:r>
      <w:r w:rsidRPr="00CD06A3">
        <w:rPr>
          <w:spacing w:val="-2"/>
        </w:rPr>
        <w:t>une de ces questions est « non », l</w:t>
      </w:r>
      <w:r w:rsidR="00917124" w:rsidRPr="00CD06A3">
        <w:rPr>
          <w:spacing w:val="-2"/>
        </w:rPr>
        <w:t>’</w:t>
      </w:r>
      <w:r w:rsidRPr="00CD06A3">
        <w:rPr>
          <w:spacing w:val="-2"/>
        </w:rPr>
        <w:t>entreprise n</w:t>
      </w:r>
      <w:r w:rsidR="00917124" w:rsidRPr="00CD06A3">
        <w:rPr>
          <w:spacing w:val="-2"/>
        </w:rPr>
        <w:t>’</w:t>
      </w:r>
      <w:r w:rsidRPr="00CD06A3">
        <w:rPr>
          <w:spacing w:val="-2"/>
        </w:rPr>
        <w:t>est pas une entité éligible. En règle générale, les sociétés détenues par un gouvernement, les entreprises détenues par un État et les organisations détenues par un gouvernement (qu</w:t>
      </w:r>
      <w:r w:rsidR="00917124" w:rsidRPr="00CD06A3">
        <w:rPr>
          <w:spacing w:val="-2"/>
        </w:rPr>
        <w:t>’</w:t>
      </w:r>
      <w:r w:rsidRPr="00CD06A3">
        <w:rPr>
          <w:spacing w:val="-2"/>
        </w:rPr>
        <w:t xml:space="preserve">elles soient incorporées ou non) qui sont engagées dans des activités commerciales (notamment, télécommunications, banque, transport) ne </w:t>
      </w:r>
      <w:r w:rsidR="00CD06A3">
        <w:rPr>
          <w:spacing w:val="-2"/>
        </w:rPr>
        <w:t>sont pas des entités éligibles.</w:t>
      </w:r>
    </w:p>
    <w:p w:rsidR="00CF4E9C" w:rsidRPr="00CD06A3" w:rsidRDefault="00CF4E9C" w:rsidP="00883E16">
      <w:r w:rsidRPr="00CD06A3">
        <w:t>Si le Gouvernement d</w:t>
      </w:r>
      <w:r w:rsidR="00917124" w:rsidRPr="00CD06A3">
        <w:t>’</w:t>
      </w:r>
      <w:r w:rsidRPr="00CD06A3">
        <w:t>un pays publie une liste des entreprises du secteur public, ces entreprises doivent satisfaire aux critères indiqués dans cette définition</w:t>
      </w:r>
      <w:r w:rsidR="00CD06A3">
        <w:t xml:space="preserve"> pour être une entité éligible.</w:t>
      </w:r>
    </w:p>
    <w:p w:rsidR="00E24334" w:rsidRPr="00CD06A3" w:rsidRDefault="00E24334" w:rsidP="00883E16">
      <w:r w:rsidRPr="00CD06A3">
        <w:t>Si une organisation perd le statut d</w:t>
      </w:r>
      <w:r w:rsidR="00917124" w:rsidRPr="00CD06A3">
        <w:t>’</w:t>
      </w:r>
      <w:r w:rsidRPr="00CD06A3">
        <w:t>entité éligible suite à la signature d</w:t>
      </w:r>
      <w:r w:rsidR="00917124" w:rsidRPr="00CD06A3">
        <w:t>’</w:t>
      </w:r>
      <w:r w:rsidRPr="00CD06A3">
        <w:t>un contrat de licence, elle pourra continuer à utiliser les copies pour lesquelles elle est titulaire d</w:t>
      </w:r>
      <w:r w:rsidR="00917124" w:rsidRPr="00CD06A3">
        <w:t>’</w:t>
      </w:r>
      <w:r w:rsidRPr="00CD06A3">
        <w:t>une licence, mais elle ne sera pas autorisée à soumettre une nouvelle commande de licences dans le cadre d</w:t>
      </w:r>
      <w:r w:rsidR="00917124" w:rsidRPr="00CD06A3">
        <w:t>’</w:t>
      </w:r>
      <w:r w:rsidRPr="00CD06A3">
        <w:t>un programme de Lice</w:t>
      </w:r>
      <w:r w:rsidR="00CD06A3">
        <w:t>nces Gouvernement de Microsoft.</w:t>
      </w:r>
    </w:p>
    <w:p w:rsidR="00F9352D" w:rsidRPr="00CD06A3" w:rsidRDefault="00A561A9" w:rsidP="000A6499">
      <w:bookmarkStart w:id="1" w:name="OLE_LINK1"/>
      <w:bookmarkStart w:id="2" w:name="OLE_LINK2"/>
      <w:r w:rsidRPr="00CD06A3">
        <w:t>Microsoft propose une tarification Administration aux entités du secteur public éligibles (telles que d</w:t>
      </w:r>
      <w:r w:rsidR="003257ED" w:rsidRPr="00CD06A3">
        <w:t>éfinies et décrites ci-dessus).</w:t>
      </w:r>
      <w:r w:rsidRPr="00CD06A3">
        <w:t xml:space="preserve"> Conformément auxdites exigences d</w:t>
      </w:r>
      <w:r w:rsidR="00917124" w:rsidRPr="00CD06A3">
        <w:t>’</w:t>
      </w:r>
      <w:r w:rsidRPr="00CD06A3">
        <w:t>éligibilité supplémentaires comme précisé dans un contrat de licence en volume spécifique, les entités éligibles peuvent bénéficier (1) d</w:t>
      </w:r>
      <w:r w:rsidR="00917124" w:rsidRPr="00CD06A3">
        <w:t>’</w:t>
      </w:r>
      <w:r w:rsidRPr="00CD06A3">
        <w:t>un prix de niveau D dans le cadre des programmes de licences en volume Enterprise, Enterprise Subscription, Select ou Select Plus ou (2) de toute autre remise disponible dans le cadre d</w:t>
      </w:r>
      <w:r w:rsidR="00917124" w:rsidRPr="00CD06A3">
        <w:t>’</w:t>
      </w:r>
      <w:r w:rsidRPr="00CD06A3">
        <w:t>autres programmes de licences en volume Microsoft.</w:t>
      </w:r>
      <w:bookmarkEnd w:id="1"/>
      <w:bookmarkEnd w:id="2"/>
    </w:p>
    <w:sectPr w:rsidR="00F9352D" w:rsidRPr="00CD06A3"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8E" w:rsidRDefault="0010538E" w:rsidP="00CF4E9C">
      <w:pPr>
        <w:spacing w:before="0"/>
      </w:pPr>
      <w:r>
        <w:separator/>
      </w:r>
    </w:p>
  </w:endnote>
  <w:endnote w:type="continuationSeparator" w:id="0">
    <w:p w:rsidR="0010538E" w:rsidRDefault="0010538E"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D3" w:rsidRDefault="00B05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B053D3" w:rsidRPr="00B053D3" w:rsidTr="00ED7B9B">
      <w:trPr>
        <w:jc w:val="center"/>
      </w:trPr>
      <w:tc>
        <w:tcPr>
          <w:tcW w:w="4621" w:type="dxa"/>
          <w:shd w:val="clear" w:color="auto" w:fill="auto"/>
        </w:tcPr>
        <w:p w:rsidR="00B053D3" w:rsidRPr="00B053D3" w:rsidRDefault="00B053D3" w:rsidP="00B053D3">
          <w:pPr>
            <w:pStyle w:val="Footer"/>
            <w:rPr>
              <w:rStyle w:val="LogoportDoNotTranslate"/>
              <w:rFonts w:ascii="Arial" w:hAnsi="Arial" w:cs="Arial"/>
              <w:color w:val="000000" w:themeColor="text1"/>
              <w:sz w:val="16"/>
              <w:szCs w:val="16"/>
            </w:rPr>
          </w:pPr>
          <w:r w:rsidRPr="00B053D3">
            <w:rPr>
              <w:rStyle w:val="LogoportDoNotTranslate"/>
              <w:rFonts w:ascii="Arial" w:hAnsi="Arial" w:cs="Arial"/>
              <w:color w:val="000000" w:themeColor="text1"/>
              <w:sz w:val="16"/>
              <w:szCs w:val="16"/>
            </w:rPr>
            <w:t>GovEligibilityDef(EMEA)(FRE)(Nov2014)</w:t>
          </w:r>
        </w:p>
      </w:tc>
      <w:tc>
        <w:tcPr>
          <w:tcW w:w="4622" w:type="dxa"/>
          <w:shd w:val="clear" w:color="auto" w:fill="auto"/>
        </w:tcPr>
        <w:p w:rsidR="00B053D3" w:rsidRPr="00B053D3" w:rsidRDefault="00B053D3" w:rsidP="00B053D3">
          <w:pPr>
            <w:pStyle w:val="Footer"/>
            <w:jc w:val="right"/>
            <w:rPr>
              <w:rStyle w:val="LogoportDoNotTranslate"/>
              <w:rFonts w:ascii="Arial" w:hAnsi="Arial" w:cs="Arial"/>
              <w:color w:val="000000" w:themeColor="text1"/>
              <w:sz w:val="16"/>
              <w:szCs w:val="16"/>
            </w:rPr>
          </w:pPr>
          <w:r w:rsidRPr="00B053D3">
            <w:rPr>
              <w:rStyle w:val="LogoportDoNotTranslate"/>
              <w:rFonts w:ascii="Arial" w:hAnsi="Arial" w:cs="Arial"/>
              <w:color w:val="000000" w:themeColor="text1"/>
              <w:sz w:val="16"/>
              <w:szCs w:val="16"/>
            </w:rPr>
            <w:t xml:space="preserve">Page </w:t>
          </w:r>
          <w:r w:rsidRPr="00B053D3">
            <w:rPr>
              <w:rStyle w:val="LogoportDoNotTranslate"/>
              <w:rFonts w:ascii="Arial" w:hAnsi="Arial" w:cs="Arial"/>
              <w:color w:val="000000" w:themeColor="text1"/>
              <w:sz w:val="16"/>
              <w:szCs w:val="16"/>
            </w:rPr>
            <w:fldChar w:fldCharType="begin"/>
          </w:r>
          <w:r w:rsidRPr="00B053D3">
            <w:rPr>
              <w:rStyle w:val="LogoportDoNotTranslate"/>
              <w:rFonts w:ascii="Arial" w:hAnsi="Arial" w:cs="Arial"/>
              <w:color w:val="000000" w:themeColor="text1"/>
              <w:sz w:val="16"/>
              <w:szCs w:val="16"/>
            </w:rPr>
            <w:instrText xml:space="preserve"> PAGE  \* MERGEFORMAT </w:instrText>
          </w:r>
          <w:r w:rsidRPr="00B053D3">
            <w:rPr>
              <w:rStyle w:val="LogoportDoNotTranslate"/>
              <w:rFonts w:ascii="Arial" w:hAnsi="Arial" w:cs="Arial"/>
              <w:color w:val="000000" w:themeColor="text1"/>
              <w:sz w:val="16"/>
              <w:szCs w:val="16"/>
            </w:rPr>
            <w:fldChar w:fldCharType="separate"/>
          </w:r>
          <w:r w:rsidR="00545528">
            <w:rPr>
              <w:rStyle w:val="LogoportDoNotTranslate"/>
              <w:rFonts w:ascii="Arial" w:hAnsi="Arial" w:cs="Arial"/>
              <w:noProof/>
              <w:color w:val="000000" w:themeColor="text1"/>
              <w:sz w:val="16"/>
              <w:szCs w:val="16"/>
            </w:rPr>
            <w:t>2</w:t>
          </w:r>
          <w:r w:rsidRPr="00B053D3">
            <w:rPr>
              <w:rStyle w:val="LogoportDoNotTranslate"/>
              <w:rFonts w:ascii="Arial" w:hAnsi="Arial" w:cs="Arial"/>
              <w:color w:val="000000" w:themeColor="text1"/>
              <w:sz w:val="16"/>
              <w:szCs w:val="16"/>
            </w:rPr>
            <w:fldChar w:fldCharType="end"/>
          </w:r>
          <w:r w:rsidRPr="00B053D3">
            <w:rPr>
              <w:rStyle w:val="LogoportDoNotTranslate"/>
              <w:rFonts w:ascii="Arial" w:hAnsi="Arial" w:cs="Arial"/>
              <w:color w:val="000000" w:themeColor="text1"/>
              <w:sz w:val="16"/>
              <w:szCs w:val="16"/>
            </w:rPr>
            <w:t xml:space="preserve"> of </w:t>
          </w:r>
          <w:r w:rsidRPr="00B053D3">
            <w:rPr>
              <w:rStyle w:val="LogoportDoNotTranslate"/>
              <w:rFonts w:ascii="Arial" w:hAnsi="Arial" w:cs="Arial"/>
              <w:color w:val="000000" w:themeColor="text1"/>
              <w:sz w:val="16"/>
              <w:szCs w:val="16"/>
            </w:rPr>
            <w:fldChar w:fldCharType="begin"/>
          </w:r>
          <w:r w:rsidRPr="00B053D3">
            <w:rPr>
              <w:rStyle w:val="LogoportDoNotTranslate"/>
              <w:rFonts w:ascii="Arial" w:hAnsi="Arial" w:cs="Arial"/>
              <w:color w:val="000000" w:themeColor="text1"/>
              <w:sz w:val="16"/>
              <w:szCs w:val="16"/>
            </w:rPr>
            <w:instrText xml:space="preserve"> NUMPAGES  \* MERGEFORMAT </w:instrText>
          </w:r>
          <w:r w:rsidRPr="00B053D3">
            <w:rPr>
              <w:rStyle w:val="LogoportDoNotTranslate"/>
              <w:rFonts w:ascii="Arial" w:hAnsi="Arial" w:cs="Arial"/>
              <w:color w:val="000000" w:themeColor="text1"/>
              <w:sz w:val="16"/>
              <w:szCs w:val="16"/>
            </w:rPr>
            <w:fldChar w:fldCharType="separate"/>
          </w:r>
          <w:r w:rsidR="00545528">
            <w:rPr>
              <w:rStyle w:val="LogoportDoNotTranslate"/>
              <w:rFonts w:ascii="Arial" w:hAnsi="Arial" w:cs="Arial"/>
              <w:noProof/>
              <w:color w:val="000000" w:themeColor="text1"/>
              <w:sz w:val="16"/>
              <w:szCs w:val="16"/>
            </w:rPr>
            <w:t>2</w:t>
          </w:r>
          <w:r w:rsidRPr="00B053D3">
            <w:rPr>
              <w:rStyle w:val="LogoportDoNotTranslate"/>
              <w:rFonts w:ascii="Arial" w:hAnsi="Arial" w:cs="Arial"/>
              <w:color w:val="000000" w:themeColor="text1"/>
              <w:sz w:val="16"/>
              <w:szCs w:val="16"/>
            </w:rPr>
            <w:fldChar w:fldCharType="end"/>
          </w:r>
        </w:p>
        <w:p w:rsidR="00B053D3" w:rsidRPr="00B053D3" w:rsidRDefault="00B053D3" w:rsidP="00B053D3">
          <w:pPr>
            <w:pStyle w:val="Footer"/>
            <w:jc w:val="right"/>
            <w:rPr>
              <w:rStyle w:val="LogoportDoNotTranslate"/>
              <w:rFonts w:ascii="Arial" w:hAnsi="Arial" w:cs="Arial"/>
              <w:color w:val="000000" w:themeColor="text1"/>
              <w:sz w:val="16"/>
              <w:szCs w:val="16"/>
            </w:rPr>
          </w:pPr>
        </w:p>
      </w:tc>
    </w:tr>
  </w:tbl>
  <w:p w:rsidR="00B053D3" w:rsidRPr="00B053D3" w:rsidRDefault="00B053D3" w:rsidP="00B053D3">
    <w:pPr>
      <w:pStyle w:val="Footer"/>
      <w:rPr>
        <w:rStyle w:val="LogoportDoNotTranslate"/>
        <w:rFonts w:ascii="Arial" w:hAnsi="Arial" w:cs="Arial"/>
        <w:color w:val="auto"/>
        <w:sz w:val="16"/>
        <w:szCs w:val="20"/>
      </w:rPr>
    </w:pPr>
  </w:p>
  <w:p w:rsidR="0006204C" w:rsidRPr="00B053D3" w:rsidRDefault="0006204C" w:rsidP="00B053D3">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B053D3" w:rsidRPr="00B053D3" w:rsidTr="00B053D3">
      <w:trPr>
        <w:jc w:val="center"/>
      </w:trPr>
      <w:tc>
        <w:tcPr>
          <w:tcW w:w="4621" w:type="dxa"/>
          <w:shd w:val="clear" w:color="auto" w:fill="auto"/>
        </w:tcPr>
        <w:p w:rsidR="00B053D3" w:rsidRPr="00B053D3" w:rsidRDefault="00B053D3" w:rsidP="00B053D3">
          <w:pPr>
            <w:pStyle w:val="Footer"/>
            <w:rPr>
              <w:rStyle w:val="LogoportDoNotTranslate"/>
              <w:rFonts w:ascii="Arial" w:hAnsi="Arial" w:cs="Arial"/>
              <w:color w:val="000000" w:themeColor="text1"/>
              <w:sz w:val="16"/>
              <w:szCs w:val="16"/>
            </w:rPr>
          </w:pPr>
          <w:r w:rsidRPr="00B053D3">
            <w:rPr>
              <w:rStyle w:val="LogoportDoNotTranslate"/>
              <w:rFonts w:ascii="Arial" w:hAnsi="Arial" w:cs="Arial"/>
              <w:color w:val="000000" w:themeColor="text1"/>
              <w:sz w:val="16"/>
              <w:szCs w:val="16"/>
            </w:rPr>
            <w:t>GovEligibilityDef(EMEA)(FRE)(Nov2014)</w:t>
          </w:r>
        </w:p>
      </w:tc>
      <w:tc>
        <w:tcPr>
          <w:tcW w:w="4622" w:type="dxa"/>
          <w:shd w:val="clear" w:color="auto" w:fill="auto"/>
        </w:tcPr>
        <w:p w:rsidR="00B053D3" w:rsidRPr="00B053D3" w:rsidRDefault="00B053D3" w:rsidP="00B053D3">
          <w:pPr>
            <w:pStyle w:val="Footer"/>
            <w:jc w:val="right"/>
            <w:rPr>
              <w:rStyle w:val="LogoportDoNotTranslate"/>
              <w:rFonts w:ascii="Arial" w:hAnsi="Arial" w:cs="Arial"/>
              <w:color w:val="000000" w:themeColor="text1"/>
              <w:sz w:val="16"/>
              <w:szCs w:val="16"/>
            </w:rPr>
          </w:pPr>
          <w:r w:rsidRPr="00B053D3">
            <w:rPr>
              <w:rStyle w:val="LogoportDoNotTranslate"/>
              <w:rFonts w:ascii="Arial" w:hAnsi="Arial" w:cs="Arial"/>
              <w:color w:val="000000" w:themeColor="text1"/>
              <w:sz w:val="16"/>
              <w:szCs w:val="16"/>
            </w:rPr>
            <w:t xml:space="preserve">Page </w:t>
          </w:r>
          <w:r w:rsidRPr="00B053D3">
            <w:rPr>
              <w:rStyle w:val="LogoportDoNotTranslate"/>
              <w:rFonts w:ascii="Arial" w:hAnsi="Arial" w:cs="Arial"/>
              <w:color w:val="000000" w:themeColor="text1"/>
              <w:sz w:val="16"/>
              <w:szCs w:val="16"/>
            </w:rPr>
            <w:fldChar w:fldCharType="begin"/>
          </w:r>
          <w:r w:rsidRPr="00B053D3">
            <w:rPr>
              <w:rStyle w:val="LogoportDoNotTranslate"/>
              <w:rFonts w:ascii="Arial" w:hAnsi="Arial" w:cs="Arial"/>
              <w:color w:val="000000" w:themeColor="text1"/>
              <w:sz w:val="16"/>
              <w:szCs w:val="16"/>
            </w:rPr>
            <w:instrText xml:space="preserve"> PAGE  \* MERGEFORMAT </w:instrText>
          </w:r>
          <w:r w:rsidRPr="00B053D3">
            <w:rPr>
              <w:rStyle w:val="LogoportDoNotTranslate"/>
              <w:rFonts w:ascii="Arial" w:hAnsi="Arial" w:cs="Arial"/>
              <w:color w:val="000000" w:themeColor="text1"/>
              <w:sz w:val="16"/>
              <w:szCs w:val="16"/>
            </w:rPr>
            <w:fldChar w:fldCharType="separate"/>
          </w:r>
          <w:r w:rsidR="00545528">
            <w:rPr>
              <w:rStyle w:val="LogoportDoNotTranslate"/>
              <w:rFonts w:ascii="Arial" w:hAnsi="Arial" w:cs="Arial"/>
              <w:noProof/>
              <w:color w:val="000000" w:themeColor="text1"/>
              <w:sz w:val="16"/>
              <w:szCs w:val="16"/>
            </w:rPr>
            <w:t>1</w:t>
          </w:r>
          <w:r w:rsidRPr="00B053D3">
            <w:rPr>
              <w:rStyle w:val="LogoportDoNotTranslate"/>
              <w:rFonts w:ascii="Arial" w:hAnsi="Arial" w:cs="Arial"/>
              <w:color w:val="000000" w:themeColor="text1"/>
              <w:sz w:val="16"/>
              <w:szCs w:val="16"/>
            </w:rPr>
            <w:fldChar w:fldCharType="end"/>
          </w:r>
          <w:r w:rsidRPr="00B053D3">
            <w:rPr>
              <w:rStyle w:val="LogoportDoNotTranslate"/>
              <w:rFonts w:ascii="Arial" w:hAnsi="Arial" w:cs="Arial"/>
              <w:color w:val="000000" w:themeColor="text1"/>
              <w:sz w:val="16"/>
              <w:szCs w:val="16"/>
            </w:rPr>
            <w:t xml:space="preserve"> of </w:t>
          </w:r>
          <w:r w:rsidRPr="00B053D3">
            <w:rPr>
              <w:rStyle w:val="LogoportDoNotTranslate"/>
              <w:rFonts w:ascii="Arial" w:hAnsi="Arial" w:cs="Arial"/>
              <w:color w:val="000000" w:themeColor="text1"/>
              <w:sz w:val="16"/>
              <w:szCs w:val="16"/>
            </w:rPr>
            <w:fldChar w:fldCharType="begin"/>
          </w:r>
          <w:r w:rsidRPr="00B053D3">
            <w:rPr>
              <w:rStyle w:val="LogoportDoNotTranslate"/>
              <w:rFonts w:ascii="Arial" w:hAnsi="Arial" w:cs="Arial"/>
              <w:color w:val="000000" w:themeColor="text1"/>
              <w:sz w:val="16"/>
              <w:szCs w:val="16"/>
            </w:rPr>
            <w:instrText xml:space="preserve"> NUMPAGES  \* MERGEFORMAT </w:instrText>
          </w:r>
          <w:r w:rsidRPr="00B053D3">
            <w:rPr>
              <w:rStyle w:val="LogoportDoNotTranslate"/>
              <w:rFonts w:ascii="Arial" w:hAnsi="Arial" w:cs="Arial"/>
              <w:color w:val="000000" w:themeColor="text1"/>
              <w:sz w:val="16"/>
              <w:szCs w:val="16"/>
            </w:rPr>
            <w:fldChar w:fldCharType="separate"/>
          </w:r>
          <w:r w:rsidR="00545528">
            <w:rPr>
              <w:rStyle w:val="LogoportDoNotTranslate"/>
              <w:rFonts w:ascii="Arial" w:hAnsi="Arial" w:cs="Arial"/>
              <w:noProof/>
              <w:color w:val="000000" w:themeColor="text1"/>
              <w:sz w:val="16"/>
              <w:szCs w:val="16"/>
            </w:rPr>
            <w:t>2</w:t>
          </w:r>
          <w:r w:rsidRPr="00B053D3">
            <w:rPr>
              <w:rStyle w:val="LogoportDoNotTranslate"/>
              <w:rFonts w:ascii="Arial" w:hAnsi="Arial" w:cs="Arial"/>
              <w:color w:val="000000" w:themeColor="text1"/>
              <w:sz w:val="16"/>
              <w:szCs w:val="16"/>
            </w:rPr>
            <w:fldChar w:fldCharType="end"/>
          </w:r>
        </w:p>
        <w:p w:rsidR="00B053D3" w:rsidRPr="00B053D3" w:rsidRDefault="00B053D3" w:rsidP="00B053D3">
          <w:pPr>
            <w:pStyle w:val="Footer"/>
            <w:jc w:val="right"/>
            <w:rPr>
              <w:rStyle w:val="LogoportDoNotTranslate"/>
              <w:rFonts w:ascii="Arial" w:hAnsi="Arial" w:cs="Arial"/>
              <w:color w:val="000000" w:themeColor="text1"/>
              <w:sz w:val="16"/>
              <w:szCs w:val="16"/>
            </w:rPr>
          </w:pPr>
        </w:p>
      </w:tc>
    </w:tr>
  </w:tbl>
  <w:p w:rsidR="005D37CF" w:rsidRPr="00B053D3" w:rsidRDefault="005D37CF" w:rsidP="00B053D3">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8E" w:rsidRDefault="0010538E" w:rsidP="00CF4E9C">
      <w:pPr>
        <w:spacing w:before="0"/>
      </w:pPr>
      <w:r>
        <w:separator/>
      </w:r>
    </w:p>
  </w:footnote>
  <w:footnote w:type="continuationSeparator" w:id="0">
    <w:p w:rsidR="0010538E" w:rsidRDefault="0010538E"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54552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54552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545528"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3BCC2917" wp14:editId="225130AC">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01C79"/>
    <w:rsid w:val="0006204C"/>
    <w:rsid w:val="000829B7"/>
    <w:rsid w:val="000A6499"/>
    <w:rsid w:val="000E2821"/>
    <w:rsid w:val="0010538E"/>
    <w:rsid w:val="001263E5"/>
    <w:rsid w:val="00165890"/>
    <w:rsid w:val="0017783A"/>
    <w:rsid w:val="001A4EAB"/>
    <w:rsid w:val="002034A1"/>
    <w:rsid w:val="00254540"/>
    <w:rsid w:val="002B1126"/>
    <w:rsid w:val="002C7665"/>
    <w:rsid w:val="002F2434"/>
    <w:rsid w:val="00305443"/>
    <w:rsid w:val="003257ED"/>
    <w:rsid w:val="00361066"/>
    <w:rsid w:val="00380578"/>
    <w:rsid w:val="00387A64"/>
    <w:rsid w:val="003A74D8"/>
    <w:rsid w:val="003B6DC6"/>
    <w:rsid w:val="0042245E"/>
    <w:rsid w:val="00455B45"/>
    <w:rsid w:val="004735D0"/>
    <w:rsid w:val="00493CEC"/>
    <w:rsid w:val="004A701B"/>
    <w:rsid w:val="004B6ADE"/>
    <w:rsid w:val="004E56F4"/>
    <w:rsid w:val="00545528"/>
    <w:rsid w:val="005505EF"/>
    <w:rsid w:val="00590119"/>
    <w:rsid w:val="005D37CF"/>
    <w:rsid w:val="005D760D"/>
    <w:rsid w:val="006260BA"/>
    <w:rsid w:val="0064711A"/>
    <w:rsid w:val="006F214E"/>
    <w:rsid w:val="007C13AD"/>
    <w:rsid w:val="007E1AD7"/>
    <w:rsid w:val="007E463F"/>
    <w:rsid w:val="00810E3F"/>
    <w:rsid w:val="00814D01"/>
    <w:rsid w:val="00837C81"/>
    <w:rsid w:val="00845DF2"/>
    <w:rsid w:val="0084628C"/>
    <w:rsid w:val="0084691D"/>
    <w:rsid w:val="00847416"/>
    <w:rsid w:val="00857479"/>
    <w:rsid w:val="00883E16"/>
    <w:rsid w:val="008A327A"/>
    <w:rsid w:val="008D739F"/>
    <w:rsid w:val="00917124"/>
    <w:rsid w:val="00921E07"/>
    <w:rsid w:val="00962F52"/>
    <w:rsid w:val="00997BA6"/>
    <w:rsid w:val="009B1C45"/>
    <w:rsid w:val="009B4A1E"/>
    <w:rsid w:val="009E4D3C"/>
    <w:rsid w:val="009F6773"/>
    <w:rsid w:val="00A00760"/>
    <w:rsid w:val="00A12728"/>
    <w:rsid w:val="00A4078D"/>
    <w:rsid w:val="00A561A9"/>
    <w:rsid w:val="00A74B65"/>
    <w:rsid w:val="00AA2506"/>
    <w:rsid w:val="00AA5A57"/>
    <w:rsid w:val="00AF0183"/>
    <w:rsid w:val="00AF2DB2"/>
    <w:rsid w:val="00B053D3"/>
    <w:rsid w:val="00BB2686"/>
    <w:rsid w:val="00BF7180"/>
    <w:rsid w:val="00C71871"/>
    <w:rsid w:val="00CC305F"/>
    <w:rsid w:val="00CD06A3"/>
    <w:rsid w:val="00CD6F8A"/>
    <w:rsid w:val="00CF4E9C"/>
    <w:rsid w:val="00D164EA"/>
    <w:rsid w:val="00D47475"/>
    <w:rsid w:val="00D760D9"/>
    <w:rsid w:val="00D767E6"/>
    <w:rsid w:val="00DB0E94"/>
    <w:rsid w:val="00E02027"/>
    <w:rsid w:val="00E17EAA"/>
    <w:rsid w:val="00E223A5"/>
    <w:rsid w:val="00E24334"/>
    <w:rsid w:val="00E367A0"/>
    <w:rsid w:val="00E74F51"/>
    <w:rsid w:val="00E81596"/>
    <w:rsid w:val="00E9279A"/>
    <w:rsid w:val="00EE1A7E"/>
    <w:rsid w:val="00F24527"/>
    <w:rsid w:val="00F5126A"/>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FCF9FF9-2FCD-4B66-B014-89249ECBF0B2}"/>
  <w:documentProtection w:edit="forms" w:enforcement="true" w:cryptProviderType="rsaFull" w:cryptAlgorithmClass="hash" w:cryptAlgorithmType="typeAny" w:cryptAlgorithmSid="4" w:cryptSpinCount="50000" w:hash="jT+5ohU70aCBIesXPF/B1k+zzhc=" w:salt="tdr2S2k5jQIkSDF5qZd3A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fr-FR" w:eastAsia="fr-FR" w:bidi="fr-FR"/>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72</cp:revision>
  <cp:lastPrinted>2014-09-29T17:04:00Z</cp:lastPrinted>
  <dcterms:created xsi:type="dcterms:W3CDTF">2014-09-05T03:56:00Z</dcterms:created>
  <dcterms:modified xsi:type="dcterms:W3CDTF">2014-10-07T18:26:00Z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