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686" w:rsidRPr="0022168B" w:rsidRDefault="00CF4E9C" w:rsidP="00BB2686">
      <w:pPr>
        <w:spacing w:before="240"/>
        <w:jc w:val="left"/>
        <w:rPr>
          <w:sz w:val="36"/>
          <w:szCs w:val="36"/>
        </w:rPr>
        <w:sectPr w:rsidR="00BB2686" w:rsidRPr="0022168B" w:rsidSect="00165890">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576" w:footer="432" w:gutter="0"/>
          <w:cols w:space="720"/>
          <w:titlePg/>
          <w:docGrid w:linePitch="360"/>
        </w:sectPr>
      </w:pPr>
      <w:bookmarkStart w:id="0" w:name="_GoBack"/>
      <w:bookmarkEnd w:id="0"/>
      <w:r w:rsidRPr="0022168B">
        <w:rPr>
          <w:sz w:val="36"/>
          <w:szCs w:val="36"/>
        </w:rPr>
        <w:t>Microsoft-Definition der berechtigten Verwaltungseinrichtung (EMEA)</w:t>
      </w:r>
    </w:p>
    <w:p w:rsidR="00CF4E9C" w:rsidRPr="0022168B" w:rsidRDefault="002B1126" w:rsidP="00883E16">
      <w:pPr>
        <w:spacing w:before="360" w:after="120"/>
      </w:pPr>
      <w:r w:rsidRPr="0022168B">
        <w:lastRenderedPageBreak/>
        <w:t>Organisationen des öffentlichen Sektors, die den nachstehend definierten und beschriebenen Kategorien oder Kriterien entsprechen, sind zur Teilnahme an den Microsoft-Volumenlizenzprogrammen teilzunehmen, die speziell für Verwaltungen („berechtigte Einrichtungen“) entwickelt wurden.</w:t>
      </w:r>
      <w:r w:rsidR="009345E9" w:rsidRPr="0022168B">
        <w:t xml:space="preserve"> </w:t>
      </w:r>
      <w:r w:rsidRPr="0022168B">
        <w:t>Eine „berechtigte Einrichtung“ ist eine Organisation, die nicht gewinnorientiert arbeitet und einer der folgenden Kategorien zugeordnet werden kann:</w:t>
      </w:r>
      <w:r w:rsidR="009345E9" w:rsidRPr="0022168B">
        <w:t xml:space="preserve"> </w:t>
      </w:r>
    </w:p>
    <w:tbl>
      <w:tblPr>
        <w:tblStyle w:val="TableGrid"/>
        <w:tblW w:w="9029" w:type="dxa"/>
        <w:jc w:val="center"/>
        <w:tblLook w:val="04A0" w:firstRow="1" w:lastRow="0" w:firstColumn="1" w:lastColumn="0" w:noHBand="0" w:noVBand="1"/>
      </w:tblPr>
      <w:tblGrid>
        <w:gridCol w:w="2341"/>
        <w:gridCol w:w="6688"/>
      </w:tblGrid>
      <w:tr w:rsidR="00CF4E9C" w:rsidRPr="0022168B" w:rsidTr="00455293">
        <w:trPr>
          <w:tblHeader/>
          <w:jc w:val="center"/>
        </w:trPr>
        <w:tc>
          <w:tcPr>
            <w:tcW w:w="9029" w:type="dxa"/>
            <w:gridSpan w:val="2"/>
            <w:shd w:val="clear" w:color="auto" w:fill="000000" w:themeFill="text1"/>
          </w:tcPr>
          <w:p w:rsidR="00CF4E9C" w:rsidRPr="0022168B" w:rsidRDefault="00CF4E9C" w:rsidP="00883E16">
            <w:pPr>
              <w:keepNext/>
              <w:spacing w:before="120" w:after="120"/>
              <w:rPr>
                <w:b/>
                <w:bCs/>
                <w:color w:val="FFFFFF" w:themeColor="background1"/>
              </w:rPr>
            </w:pPr>
            <w:r w:rsidRPr="0022168B">
              <w:rPr>
                <w:b/>
                <w:bCs/>
                <w:color w:val="FFFFFF" w:themeColor="background1"/>
              </w:rPr>
              <w:t>Kategorien</w:t>
            </w:r>
          </w:p>
        </w:tc>
      </w:tr>
      <w:tr w:rsidR="00CF4E9C" w:rsidRPr="0022168B" w:rsidTr="00455293">
        <w:trPr>
          <w:tblHeader/>
          <w:jc w:val="center"/>
        </w:trPr>
        <w:tc>
          <w:tcPr>
            <w:tcW w:w="2341" w:type="dxa"/>
            <w:vAlign w:val="center"/>
          </w:tcPr>
          <w:p w:rsidR="00CF4E9C" w:rsidRPr="0022168B" w:rsidRDefault="00CF4E9C" w:rsidP="00883E16">
            <w:pPr>
              <w:spacing w:before="120" w:after="120"/>
              <w:jc w:val="left"/>
              <w:rPr>
                <w:b/>
                <w:bCs/>
              </w:rPr>
            </w:pPr>
            <w:r w:rsidRPr="0022168B">
              <w:rPr>
                <w:b/>
                <w:bCs/>
              </w:rPr>
              <w:t>A. Supranational</w:t>
            </w:r>
          </w:p>
        </w:tc>
        <w:tc>
          <w:tcPr>
            <w:tcW w:w="6688" w:type="dxa"/>
            <w:vAlign w:val="center"/>
          </w:tcPr>
          <w:p w:rsidR="00CF4E9C" w:rsidRPr="0022168B" w:rsidRDefault="00CF4E9C" w:rsidP="00883E16">
            <w:pPr>
              <w:spacing w:before="120" w:after="120"/>
            </w:pPr>
            <w:r w:rsidRPr="0022168B">
              <w:t>Alle Organisationen/Einrichtungen, die in vielen nationalen Regierungen eine erkennbare aufsichtsrechtliche oder gesetzgebende Funktion haben</w:t>
            </w:r>
          </w:p>
        </w:tc>
      </w:tr>
      <w:tr w:rsidR="00CF4E9C" w:rsidRPr="0022168B" w:rsidTr="00455293">
        <w:trPr>
          <w:tblHeader/>
          <w:jc w:val="center"/>
        </w:trPr>
        <w:tc>
          <w:tcPr>
            <w:tcW w:w="2341" w:type="dxa"/>
            <w:vAlign w:val="center"/>
          </w:tcPr>
          <w:p w:rsidR="00CF4E9C" w:rsidRPr="0022168B" w:rsidRDefault="00CF4E9C" w:rsidP="00883E16">
            <w:pPr>
              <w:spacing w:before="120" w:after="120"/>
              <w:jc w:val="left"/>
              <w:rPr>
                <w:b/>
                <w:bCs/>
              </w:rPr>
            </w:pPr>
            <w:r w:rsidRPr="0022168B">
              <w:rPr>
                <w:b/>
                <w:bCs/>
              </w:rPr>
              <w:t>B. National/Auf Bundesebene</w:t>
            </w:r>
          </w:p>
        </w:tc>
        <w:tc>
          <w:tcPr>
            <w:tcW w:w="6688" w:type="dxa"/>
            <w:vAlign w:val="center"/>
          </w:tcPr>
          <w:p w:rsidR="00CF4E9C" w:rsidRPr="0022168B" w:rsidRDefault="00CF4E9C" w:rsidP="00883E16">
            <w:pPr>
              <w:spacing w:before="120" w:after="120"/>
            </w:pPr>
            <w:r w:rsidRPr="0022168B">
              <w:t>Alle staatlichen Organisationen/Einrichtungen, die auf Bundesebene/nationaler Ebene verwaltet werden und über eine Befugnis für Anordnungen auf nationaler oder gesamtstaatlicher Ebene verfügen.</w:t>
            </w:r>
            <w:r w:rsidR="009345E9" w:rsidRPr="0022168B">
              <w:t xml:space="preserve"> </w:t>
            </w:r>
            <w:r w:rsidRPr="0022168B">
              <w:t>Dies schließt parlamentarische Gremien und gerichtliche Instanzen mit Befugnissen zur Festlegung von Rechtsgrundsätzen und zu Entscheidungen darüber ein.</w:t>
            </w:r>
          </w:p>
        </w:tc>
      </w:tr>
      <w:tr w:rsidR="00CF4E9C" w:rsidRPr="0022168B" w:rsidTr="00455293">
        <w:trPr>
          <w:tblHeader/>
          <w:jc w:val="center"/>
        </w:trPr>
        <w:tc>
          <w:tcPr>
            <w:tcW w:w="2341" w:type="dxa"/>
            <w:vAlign w:val="center"/>
          </w:tcPr>
          <w:p w:rsidR="00CF4E9C" w:rsidRPr="0022168B" w:rsidRDefault="00CF4E9C" w:rsidP="00310ED6">
            <w:pPr>
              <w:spacing w:before="120" w:after="120"/>
              <w:jc w:val="left"/>
              <w:rPr>
                <w:b/>
                <w:bCs/>
              </w:rPr>
            </w:pPr>
            <w:r w:rsidRPr="0022168B">
              <w:rPr>
                <w:b/>
                <w:bCs/>
              </w:rPr>
              <w:t>C. Regional/</w:t>
            </w:r>
            <w:r w:rsidR="00310ED6">
              <w:rPr>
                <w:b/>
                <w:bCs/>
              </w:rPr>
              <w:br/>
            </w:r>
            <w:r w:rsidRPr="0022168B">
              <w:rPr>
                <w:b/>
                <w:bCs/>
              </w:rPr>
              <w:t>Einzelstaatlich/Auf Provinzebene</w:t>
            </w:r>
          </w:p>
        </w:tc>
        <w:tc>
          <w:tcPr>
            <w:tcW w:w="6688" w:type="dxa"/>
            <w:vAlign w:val="center"/>
          </w:tcPr>
          <w:p w:rsidR="00CF4E9C" w:rsidRPr="0022168B" w:rsidRDefault="00CF4E9C" w:rsidP="00883E16">
            <w:pPr>
              <w:spacing w:before="120" w:after="120"/>
            </w:pPr>
            <w:r w:rsidRPr="0022168B">
              <w:t>Eine staatliche Zwischenstufe, die nicht ein gesamtes Land abdeckt, sondern mehrere kommunale Verwaltungsbereiche in ihrem Zuständigkeitsbereich hat. Dies beinhaltet (1) alle staatlichen Organisationen/Einrichtungen, die auf einzelstaatlicher/regionaler Ebene verwaltet werden und unterschiedliche Bezeichnungen tragen: Region, Abteilungen, State, Bundesland, County oder Province, und (2) alle Ministerien, parlamentarischen Gremien, Aufsichtsbehörden und gerichtlichen Instanzen mit Befugnissen zur Festlegung von Rechtsgrundsätzen und zu Entscheidungen darüber in dieser Region, in diesem Département, State, Bundesland, County oder in dieser Province.</w:t>
            </w:r>
          </w:p>
        </w:tc>
      </w:tr>
      <w:tr w:rsidR="00CF4E9C" w:rsidRPr="0022168B" w:rsidTr="00455293">
        <w:trPr>
          <w:tblHeader/>
          <w:jc w:val="center"/>
        </w:trPr>
        <w:tc>
          <w:tcPr>
            <w:tcW w:w="2341" w:type="dxa"/>
            <w:vAlign w:val="center"/>
          </w:tcPr>
          <w:p w:rsidR="00CF4E9C" w:rsidRPr="0022168B" w:rsidRDefault="00CF4E9C" w:rsidP="00883E16">
            <w:pPr>
              <w:spacing w:before="120" w:after="120"/>
              <w:jc w:val="left"/>
              <w:rPr>
                <w:b/>
                <w:bCs/>
              </w:rPr>
            </w:pPr>
            <w:r w:rsidRPr="0022168B">
              <w:rPr>
                <w:b/>
                <w:bCs/>
              </w:rPr>
              <w:t>D. Lokal/Kommunal</w:t>
            </w:r>
          </w:p>
        </w:tc>
        <w:tc>
          <w:tcPr>
            <w:tcW w:w="6688" w:type="dxa"/>
            <w:vAlign w:val="center"/>
          </w:tcPr>
          <w:p w:rsidR="00CF4E9C" w:rsidRPr="0022168B" w:rsidRDefault="00CF4E9C" w:rsidP="00883E16">
            <w:pPr>
              <w:spacing w:before="120" w:after="120"/>
            </w:pPr>
            <w:r w:rsidRPr="0022168B">
              <w:t>Die niedrigste Regierungsstufe und die zugehörige Verwaltung. Dies beinhaltet alle staatlichen Organisationen/Einrichtungen, die auf Ebene des Ortes, der Stadt, des Bezirks, des Landkreises, des Dorfs, der Gemeinde, der Kommune und des Stadtbezirks verwaltet werden (z. B. Freizeitangebote, Abfallentsorgung, Feuerwehr, Kontrolle kommunaler Dienstleistungen und Durchführung einiger nationaler Dienstleistungen).</w:t>
            </w:r>
          </w:p>
        </w:tc>
      </w:tr>
      <w:tr w:rsidR="00CF4E9C" w:rsidRPr="0022168B" w:rsidTr="00455293">
        <w:trPr>
          <w:tblHeader/>
          <w:jc w:val="center"/>
        </w:trPr>
        <w:tc>
          <w:tcPr>
            <w:tcW w:w="2341" w:type="dxa"/>
            <w:vAlign w:val="center"/>
          </w:tcPr>
          <w:p w:rsidR="00CF4E9C" w:rsidRPr="0022168B" w:rsidRDefault="00CF4E9C" w:rsidP="00883E16">
            <w:pPr>
              <w:spacing w:before="120" w:after="120"/>
              <w:jc w:val="left"/>
              <w:rPr>
                <w:b/>
                <w:bCs/>
              </w:rPr>
            </w:pPr>
            <w:r w:rsidRPr="0022168B">
              <w:rPr>
                <w:b/>
                <w:bCs/>
              </w:rPr>
              <w:t>E. Gesundheitswesen</w:t>
            </w:r>
          </w:p>
        </w:tc>
        <w:tc>
          <w:tcPr>
            <w:tcW w:w="6688" w:type="dxa"/>
            <w:vAlign w:val="center"/>
          </w:tcPr>
          <w:p w:rsidR="00CF4E9C" w:rsidRPr="0022168B" w:rsidRDefault="00CF4E9C" w:rsidP="00883E16">
            <w:pPr>
              <w:spacing w:before="120" w:after="120"/>
            </w:pPr>
            <w:r w:rsidRPr="0022168B">
              <w:t>Staatliche Organisationen/Einrichtungen, die Dienstleistungen und die Versorgung im Gesundheitswesen bereitstellen, Politik im Gesundheitswesen auf nationaler, staatlicher oder Landesebene gestalten oder darüber entscheiden, Finanzmittel für Dienstleistungen und die Versorgung im Gesundheitswesen bereitstellen oder eine aufsichtsrechtliche Funktion bei Dienstleistungen und der Versorgung im Gesundheitswesen übernehmen</w:t>
            </w:r>
          </w:p>
        </w:tc>
      </w:tr>
      <w:tr w:rsidR="00CF4E9C" w:rsidRPr="0022168B" w:rsidTr="00455293">
        <w:trPr>
          <w:cantSplit/>
          <w:tblHeader/>
          <w:jc w:val="center"/>
        </w:trPr>
        <w:tc>
          <w:tcPr>
            <w:tcW w:w="2341" w:type="dxa"/>
            <w:vAlign w:val="center"/>
          </w:tcPr>
          <w:p w:rsidR="00CF4E9C" w:rsidRPr="0022168B" w:rsidRDefault="00CF4E9C" w:rsidP="00883E16">
            <w:pPr>
              <w:spacing w:before="120" w:after="120"/>
              <w:jc w:val="left"/>
              <w:rPr>
                <w:b/>
                <w:bCs/>
              </w:rPr>
            </w:pPr>
            <w:r w:rsidRPr="0022168B">
              <w:rPr>
                <w:b/>
                <w:bCs/>
              </w:rPr>
              <w:lastRenderedPageBreak/>
              <w:t>F. Sonstige staatliche Organisationen</w:t>
            </w:r>
          </w:p>
        </w:tc>
        <w:tc>
          <w:tcPr>
            <w:tcW w:w="6688" w:type="dxa"/>
            <w:vAlign w:val="center"/>
          </w:tcPr>
          <w:p w:rsidR="00CF4E9C" w:rsidRPr="0022168B" w:rsidRDefault="00CF4E9C" w:rsidP="00883E16">
            <w:pPr>
              <w:spacing w:before="120" w:after="120"/>
            </w:pPr>
            <w:r w:rsidRPr="0022168B">
              <w:t>Organisationen, die einzig und allein der Regierung einer international anerkannten Nation oder eines international anerkannten Staates gegenüber rechenschaftspflichtig sind und</w:t>
            </w:r>
            <w:r w:rsidR="008C6E0B" w:rsidRPr="0022168B">
              <w:t> </w:t>
            </w:r>
            <w:r w:rsidRPr="0022168B">
              <w:t>letztlich von der Regierung dieser Nation/diesem Staat kontrolliert</w:t>
            </w:r>
            <w:r w:rsidR="008C6E0B" w:rsidRPr="0022168B">
              <w:t> </w:t>
            </w:r>
            <w:r w:rsidRPr="0022168B">
              <w:t>werden</w:t>
            </w:r>
          </w:p>
          <w:p w:rsidR="00AA5A57" w:rsidRPr="0022168B" w:rsidRDefault="00AA5A57" w:rsidP="00883E16">
            <w:pPr>
              <w:spacing w:after="120"/>
            </w:pPr>
            <w:r w:rsidRPr="0022168B">
              <w:t xml:space="preserve">Organisationen, die durch die Gesetzgebung zur Erfüllung eines bestimmten Zwecks für die Öffentlichkeit, wie in der relevanten, die Organisation begründenden Gesetzgebung oder der Satzung/den Zielen der Organisation beschrieben, ins Leben gerufen werden (z. B. staatliche Agenturen, städtische Betriebe, staatliche Forschungsorganisationen) </w:t>
            </w:r>
          </w:p>
        </w:tc>
      </w:tr>
    </w:tbl>
    <w:p w:rsidR="00CF4E9C" w:rsidRPr="0022168B" w:rsidRDefault="00CF4E9C" w:rsidP="00883E16">
      <w:r w:rsidRPr="0022168B">
        <w:t>Wenn eine Organisation einer der obigen Kategorien zugeordnet werden kann und gewinnorientiert arbeitet, wird anhand der folgenden zusätzlichen Kriterien bestimmt, ob die Organisation als berechtigte Einrichtung qualifiziert ist:</w:t>
      </w:r>
    </w:p>
    <w:p w:rsidR="00CF4E9C" w:rsidRPr="0022168B" w:rsidRDefault="00CF4E9C" w:rsidP="00883E16">
      <w:pPr>
        <w:pStyle w:val="ListParagraph"/>
        <w:numPr>
          <w:ilvl w:val="0"/>
          <w:numId w:val="1"/>
        </w:numPr>
        <w:ind w:left="1080"/>
        <w:contextualSpacing w:val="0"/>
      </w:pPr>
      <w:r w:rsidRPr="0022168B">
        <w:t>Fließen die Einnahmen/Gewinne ausschließlich an den Staat (oder auch an private Anteilseigner)?</w:t>
      </w:r>
    </w:p>
    <w:p w:rsidR="00CF4E9C" w:rsidRPr="0022168B" w:rsidRDefault="00CF4E9C" w:rsidP="00883E16">
      <w:pPr>
        <w:pStyle w:val="ListParagraph"/>
        <w:numPr>
          <w:ilvl w:val="0"/>
          <w:numId w:val="1"/>
        </w:numPr>
        <w:ind w:left="1080"/>
        <w:contextualSpacing w:val="0"/>
      </w:pPr>
      <w:r w:rsidRPr="0022168B">
        <w:t>Ist die betreffende Organisation von der Körperschaftssteuer befreit?</w:t>
      </w:r>
    </w:p>
    <w:p w:rsidR="00CF4E9C" w:rsidRPr="0022168B" w:rsidRDefault="00CF4E9C" w:rsidP="00883E16">
      <w:pPr>
        <w:pStyle w:val="ListParagraph"/>
        <w:numPr>
          <w:ilvl w:val="0"/>
          <w:numId w:val="1"/>
        </w:numPr>
        <w:ind w:left="1080"/>
        <w:contextualSpacing w:val="0"/>
      </w:pPr>
      <w:r w:rsidRPr="0022168B">
        <w:t>Wird die Organisation zu mehr als 50 % vom Staat finanziert (d. h. stammen weniger als 50 % ihrer Mittel aus kommerziellen Tätigkeiten)?</w:t>
      </w:r>
    </w:p>
    <w:p w:rsidR="00CF4E9C" w:rsidRPr="0022168B" w:rsidRDefault="00CF4E9C" w:rsidP="00883E16">
      <w:r w:rsidRPr="0022168B">
        <w:t xml:space="preserve">Wenn all diese Fragen mit „Ja“ beantwortet werden, dann ist die Organisation als berechtigte Einrichtung qualifiziert. Wenn eine dieser Fragen mit „Nein“ beantwortet wird, dann ist die Organisation nicht als berechtigte Einrichtung qualifiziert. Grundsätzlich sind staatliche Kapitalgesellschaften, staatliche Unternehmen und staatliche Organisationen (unabhängig davon, ob sie als Kapitalgesellschaft eingetragen sind oder nicht), die kommerziellen Tätigkeiten nachgehen (z. B. Telekommunikation, Bankwesen, Transport usw.) nicht als berechtigte Einrichtung qualifiziert. </w:t>
      </w:r>
    </w:p>
    <w:p w:rsidR="00CF4E9C" w:rsidRPr="0022168B" w:rsidRDefault="00CF4E9C" w:rsidP="00883E16">
      <w:r w:rsidRPr="0022168B">
        <w:t xml:space="preserve">Wenn die Regierung eines Landes eine Liste der Organisationen des öffentlichen Sektors veröffentlicht, müssen diese Organisationen die in dieser Definition genannten Kriterien erfüllen, um als berechtigte Einrichtung qualifiziert zu sein. </w:t>
      </w:r>
    </w:p>
    <w:p w:rsidR="00E24334" w:rsidRPr="0022168B" w:rsidRDefault="00E24334" w:rsidP="00883E16">
      <w:r w:rsidRPr="0022168B">
        <w:t xml:space="preserve">Wenn eine Organisation ihren Status als berechtigte Verwaltungseinrichtung nach der Unterzeichnung eines Lizenzvertrages verliert, darf die Organisation Kopien, für die die Organisation lizenziert ist, weiterhin nutzen; die Organisation darf jedoch keine neue Bestellung für Lizenzen unter den Microsoft Government-Lizenzprogrammen übermitteln. </w:t>
      </w:r>
    </w:p>
    <w:p w:rsidR="00F9352D" w:rsidRPr="0022168B" w:rsidRDefault="00A561A9" w:rsidP="000A6499">
      <w:bookmarkStart w:id="1" w:name="OLE_LINK1"/>
      <w:bookmarkStart w:id="2" w:name="OLE_LINK2"/>
      <w:r w:rsidRPr="0022168B">
        <w:t>Microsoft bietet berechtigten Organisationen des öffentlichen Sektors (gemäß obiger Definition und Beschreibung) die Preise für Verwaltungen.</w:t>
      </w:r>
      <w:r w:rsidR="009345E9" w:rsidRPr="0022168B">
        <w:t xml:space="preserve"> </w:t>
      </w:r>
      <w:r w:rsidRPr="0022168B">
        <w:t>Vorbehaltlich zusätzlicher Berechtigungskriterien gemäß einem bestimmten Volumenlizenzvertrag qualifizieren sich berechtigte Organisationen für den Erhalt von (1) Preislevel D unter den Konzern-, Konzern-Abonnement-, Select- oder Select Plus-Programmen oder (2) sonstigen Nachlässen, die unter anderen Microsoft-Volumenlizenzprogrammen zur Verfügung stehen.</w:t>
      </w:r>
      <w:bookmarkEnd w:id="1"/>
      <w:bookmarkEnd w:id="2"/>
    </w:p>
    <w:sectPr w:rsidR="00F9352D" w:rsidRPr="0022168B" w:rsidSect="00165890">
      <w:type w:val="continuous"/>
      <w:pgSz w:w="11907" w:h="16839" w:code="9"/>
      <w:pgMar w:top="1440" w:right="1440" w:bottom="1440" w:left="1440" w:header="72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1FBA" w:rsidRDefault="002C1FBA" w:rsidP="00CF4E9C">
      <w:pPr>
        <w:spacing w:before="0"/>
      </w:pPr>
      <w:r>
        <w:separator/>
      </w:r>
    </w:p>
  </w:endnote>
  <w:endnote w:type="continuationSeparator" w:id="0">
    <w:p w:rsidR="002C1FBA" w:rsidRDefault="002C1FBA" w:rsidP="00CF4E9C">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61002A87" w:usb1="80000000"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93E" w:rsidRDefault="006959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465"/>
    </w:tblGrid>
    <w:tr w:rsidR="0069593E" w:rsidRPr="0069593E" w:rsidTr="00BF3981">
      <w:trPr>
        <w:jc w:val="center"/>
      </w:trPr>
      <w:tc>
        <w:tcPr>
          <w:tcW w:w="4621" w:type="dxa"/>
          <w:shd w:val="clear" w:color="auto" w:fill="auto"/>
        </w:tcPr>
        <w:p w:rsidR="0069593E" w:rsidRPr="0069593E" w:rsidRDefault="0069593E" w:rsidP="0069593E">
          <w:pPr>
            <w:pStyle w:val="Footer"/>
            <w:rPr>
              <w:sz w:val="16"/>
              <w:szCs w:val="16"/>
            </w:rPr>
          </w:pPr>
          <w:r w:rsidRPr="0069593E">
            <w:rPr>
              <w:sz w:val="16"/>
              <w:szCs w:val="16"/>
            </w:rPr>
            <w:t>GovEligibilityDef(EMEA)(GER)(Nov2014)</w:t>
          </w:r>
        </w:p>
      </w:tc>
      <w:tc>
        <w:tcPr>
          <w:tcW w:w="4622" w:type="dxa"/>
          <w:shd w:val="clear" w:color="auto" w:fill="auto"/>
        </w:tcPr>
        <w:p w:rsidR="0069593E" w:rsidRPr="0069593E" w:rsidRDefault="0069593E" w:rsidP="0069593E">
          <w:pPr>
            <w:pStyle w:val="Footer"/>
            <w:jc w:val="right"/>
            <w:rPr>
              <w:sz w:val="16"/>
              <w:szCs w:val="16"/>
            </w:rPr>
          </w:pPr>
          <w:r w:rsidRPr="0069593E">
            <w:rPr>
              <w:sz w:val="16"/>
              <w:szCs w:val="16"/>
            </w:rPr>
            <w:t xml:space="preserve">Page </w:t>
          </w:r>
          <w:r w:rsidRPr="0069593E">
            <w:rPr>
              <w:sz w:val="16"/>
              <w:szCs w:val="16"/>
            </w:rPr>
            <w:fldChar w:fldCharType="begin"/>
          </w:r>
          <w:r w:rsidRPr="0069593E">
            <w:rPr>
              <w:sz w:val="16"/>
              <w:szCs w:val="16"/>
            </w:rPr>
            <w:instrText xml:space="preserve"> PAGE  \* MERGEFORMAT </w:instrText>
          </w:r>
          <w:r w:rsidRPr="0069593E">
            <w:rPr>
              <w:sz w:val="16"/>
              <w:szCs w:val="16"/>
            </w:rPr>
            <w:fldChar w:fldCharType="separate"/>
          </w:r>
          <w:r w:rsidR="0012350B">
            <w:rPr>
              <w:noProof/>
              <w:sz w:val="16"/>
              <w:szCs w:val="16"/>
            </w:rPr>
            <w:t>2</w:t>
          </w:r>
          <w:r w:rsidRPr="0069593E">
            <w:rPr>
              <w:sz w:val="16"/>
              <w:szCs w:val="16"/>
            </w:rPr>
            <w:fldChar w:fldCharType="end"/>
          </w:r>
          <w:r w:rsidRPr="0069593E">
            <w:rPr>
              <w:sz w:val="16"/>
              <w:szCs w:val="16"/>
            </w:rPr>
            <w:t xml:space="preserve"> of </w:t>
          </w:r>
          <w:r w:rsidRPr="0069593E">
            <w:rPr>
              <w:sz w:val="16"/>
              <w:szCs w:val="16"/>
            </w:rPr>
            <w:fldChar w:fldCharType="begin"/>
          </w:r>
          <w:r w:rsidRPr="0069593E">
            <w:rPr>
              <w:sz w:val="16"/>
              <w:szCs w:val="16"/>
            </w:rPr>
            <w:instrText xml:space="preserve"> NUMPAGES  \* MERGEFORMAT </w:instrText>
          </w:r>
          <w:r w:rsidRPr="0069593E">
            <w:rPr>
              <w:sz w:val="16"/>
              <w:szCs w:val="16"/>
            </w:rPr>
            <w:fldChar w:fldCharType="separate"/>
          </w:r>
          <w:r w:rsidR="0012350B">
            <w:rPr>
              <w:noProof/>
              <w:sz w:val="16"/>
              <w:szCs w:val="16"/>
            </w:rPr>
            <w:t>2</w:t>
          </w:r>
          <w:r w:rsidRPr="0069593E">
            <w:rPr>
              <w:sz w:val="16"/>
              <w:szCs w:val="16"/>
            </w:rPr>
            <w:fldChar w:fldCharType="end"/>
          </w:r>
        </w:p>
        <w:p w:rsidR="0069593E" w:rsidRPr="0069593E" w:rsidRDefault="0069593E" w:rsidP="0069593E">
          <w:pPr>
            <w:pStyle w:val="Footer"/>
            <w:jc w:val="right"/>
            <w:rPr>
              <w:sz w:val="16"/>
              <w:szCs w:val="16"/>
            </w:rPr>
          </w:pPr>
        </w:p>
      </w:tc>
    </w:tr>
  </w:tbl>
  <w:p w:rsidR="0069593E" w:rsidRPr="0069593E" w:rsidRDefault="0069593E" w:rsidP="0069593E">
    <w:pPr>
      <w:pStyle w:val="Footer"/>
      <w:rPr>
        <w:sz w:val="16"/>
      </w:rPr>
    </w:pPr>
  </w:p>
  <w:p w:rsidR="005A5A95" w:rsidRPr="0069593E" w:rsidRDefault="005A5A95" w:rsidP="0069593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9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64"/>
      <w:gridCol w:w="4465"/>
    </w:tblGrid>
    <w:tr w:rsidR="0069593E" w:rsidRPr="0069593E" w:rsidTr="0069593E">
      <w:trPr>
        <w:jc w:val="center"/>
      </w:trPr>
      <w:tc>
        <w:tcPr>
          <w:tcW w:w="4621" w:type="dxa"/>
          <w:shd w:val="clear" w:color="auto" w:fill="auto"/>
        </w:tcPr>
        <w:p w:rsidR="0069593E" w:rsidRPr="0069593E" w:rsidRDefault="0069593E" w:rsidP="0069593E">
          <w:pPr>
            <w:pStyle w:val="Footer"/>
            <w:rPr>
              <w:sz w:val="16"/>
              <w:szCs w:val="16"/>
            </w:rPr>
          </w:pPr>
          <w:r w:rsidRPr="0069593E">
            <w:rPr>
              <w:sz w:val="16"/>
              <w:szCs w:val="16"/>
            </w:rPr>
            <w:t>GovEligibilityDef(EMEA)(GER)(Nov2014)</w:t>
          </w:r>
        </w:p>
      </w:tc>
      <w:tc>
        <w:tcPr>
          <w:tcW w:w="4622" w:type="dxa"/>
          <w:shd w:val="clear" w:color="auto" w:fill="auto"/>
        </w:tcPr>
        <w:p w:rsidR="0069593E" w:rsidRPr="0069593E" w:rsidRDefault="0069593E" w:rsidP="0069593E">
          <w:pPr>
            <w:pStyle w:val="Footer"/>
            <w:jc w:val="right"/>
            <w:rPr>
              <w:sz w:val="16"/>
              <w:szCs w:val="16"/>
            </w:rPr>
          </w:pPr>
          <w:r w:rsidRPr="0069593E">
            <w:rPr>
              <w:sz w:val="16"/>
              <w:szCs w:val="16"/>
            </w:rPr>
            <w:t xml:space="preserve">Page </w:t>
          </w:r>
          <w:r w:rsidRPr="0069593E">
            <w:rPr>
              <w:sz w:val="16"/>
              <w:szCs w:val="16"/>
            </w:rPr>
            <w:fldChar w:fldCharType="begin"/>
          </w:r>
          <w:r w:rsidRPr="0069593E">
            <w:rPr>
              <w:sz w:val="16"/>
              <w:szCs w:val="16"/>
            </w:rPr>
            <w:instrText xml:space="preserve"> PAGE  \* MERGEFORMAT </w:instrText>
          </w:r>
          <w:r w:rsidRPr="0069593E">
            <w:rPr>
              <w:sz w:val="16"/>
              <w:szCs w:val="16"/>
            </w:rPr>
            <w:fldChar w:fldCharType="separate"/>
          </w:r>
          <w:r w:rsidR="0012350B">
            <w:rPr>
              <w:noProof/>
              <w:sz w:val="16"/>
              <w:szCs w:val="16"/>
            </w:rPr>
            <w:t>1</w:t>
          </w:r>
          <w:r w:rsidRPr="0069593E">
            <w:rPr>
              <w:sz w:val="16"/>
              <w:szCs w:val="16"/>
            </w:rPr>
            <w:fldChar w:fldCharType="end"/>
          </w:r>
          <w:r w:rsidRPr="0069593E">
            <w:rPr>
              <w:sz w:val="16"/>
              <w:szCs w:val="16"/>
            </w:rPr>
            <w:t xml:space="preserve"> of </w:t>
          </w:r>
          <w:r w:rsidRPr="0069593E">
            <w:rPr>
              <w:sz w:val="16"/>
              <w:szCs w:val="16"/>
            </w:rPr>
            <w:fldChar w:fldCharType="begin"/>
          </w:r>
          <w:r w:rsidRPr="0069593E">
            <w:rPr>
              <w:sz w:val="16"/>
              <w:szCs w:val="16"/>
            </w:rPr>
            <w:instrText xml:space="preserve"> NUMPAGES  \* MERGEFORMAT </w:instrText>
          </w:r>
          <w:r w:rsidRPr="0069593E">
            <w:rPr>
              <w:sz w:val="16"/>
              <w:szCs w:val="16"/>
            </w:rPr>
            <w:fldChar w:fldCharType="separate"/>
          </w:r>
          <w:r w:rsidR="0012350B">
            <w:rPr>
              <w:noProof/>
              <w:sz w:val="16"/>
              <w:szCs w:val="16"/>
            </w:rPr>
            <w:t>2</w:t>
          </w:r>
          <w:r w:rsidRPr="0069593E">
            <w:rPr>
              <w:sz w:val="16"/>
              <w:szCs w:val="16"/>
            </w:rPr>
            <w:fldChar w:fldCharType="end"/>
          </w:r>
        </w:p>
        <w:p w:rsidR="0069593E" w:rsidRPr="0069593E" w:rsidRDefault="0069593E" w:rsidP="0069593E">
          <w:pPr>
            <w:pStyle w:val="Footer"/>
            <w:jc w:val="right"/>
            <w:rPr>
              <w:sz w:val="16"/>
              <w:szCs w:val="16"/>
            </w:rPr>
          </w:pPr>
        </w:p>
      </w:tc>
    </w:tr>
  </w:tbl>
  <w:p w:rsidR="009345E9" w:rsidRPr="0069593E" w:rsidRDefault="009345E9" w:rsidP="0069593E">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1FBA" w:rsidRDefault="002C1FBA" w:rsidP="00CF4E9C">
      <w:pPr>
        <w:spacing w:before="0"/>
      </w:pPr>
      <w:r>
        <w:separator/>
      </w:r>
    </w:p>
  </w:footnote>
  <w:footnote w:type="continuationSeparator" w:id="0">
    <w:p w:rsidR="002C1FBA" w:rsidRDefault="002C1FBA" w:rsidP="00CF4E9C">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B65" w:rsidRDefault="0012350B">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123626" o:spid="_x0000_s2053" type="#_x0000_t75" style="position:absolute;left:0;text-align:left;margin-left:0;margin-top:0;width:451.2pt;height:254.35pt;z-index:-251657216;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B65" w:rsidRDefault="0012350B">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123627" o:spid="_x0000_s2054" type="#_x0000_t75" style="position:absolute;left:0;text-align:left;margin-left:0;margin-top:0;width:451.2pt;height:254.35pt;z-index:-251656192;mso-position-horizontal:center;mso-position-horizontal-relative:margin;mso-position-vertical:center;mso-position-vertical-relative:margin" o:allowincell="f">
          <v:imagedata r:id="rId1" o:title="Watermark"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7CF" w:rsidRDefault="0012350B" w:rsidP="00FB472C">
    <w:pPr>
      <w:pStyle w:val="Header"/>
      <w:jc w:val="lef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123625" o:spid="_x0000_s2052" type="#_x0000_t75" style="position:absolute;margin-left:0;margin-top:0;width:451.2pt;height:254.35pt;z-index:-251658240;mso-position-horizontal:center;mso-position-horizontal-relative:margin;mso-position-vertical:center;mso-position-vertical-relative:margin" o:allowincell="f">
          <v:imagedata r:id="rId1" o:title="Watermark" gain="19661f" blacklevel="22938f"/>
          <w10:wrap anchorx="margin" anchory="margin"/>
        </v:shape>
      </w:pict>
    </w:r>
    <w:r w:rsidR="0017783A">
      <w:rPr>
        <w:noProof/>
        <w:lang w:val="en-US" w:eastAsia="en-US" w:bidi="ar-SA"/>
      </w:rPr>
      <w:drawing>
        <wp:inline distT="0" distB="0" distL="0" distR="0" wp14:anchorId="77109E1C" wp14:editId="538EA0EA">
          <wp:extent cx="5724525" cy="561975"/>
          <wp:effectExtent l="0" t="0" r="0" b="9525"/>
          <wp:docPr id="1" name="Picture 1" descr="C:\Users\v-zamorr\Desktop\new 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zamorr\Desktop\new heade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24525" cy="5619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53E7C"/>
    <w:multiLevelType w:val="hybridMultilevel"/>
    <w:tmpl w:val="B22E41D8"/>
    <w:lvl w:ilvl="0" w:tplc="04090001">
      <w:start w:val="1"/>
      <w:numFmt w:val="bullet"/>
      <w:lvlText w:val=""/>
      <w:lvlJc w:val="left"/>
      <w:pPr>
        <w:ind w:left="882" w:hanging="360"/>
      </w:pPr>
      <w:rPr>
        <w:rFonts w:ascii="Symbol" w:hAnsi="Symbol" w:hint="default"/>
      </w:rPr>
    </w:lvl>
    <w:lvl w:ilvl="1" w:tplc="04090003">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
    <w:nsid w:val="02D00D01"/>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2136F6"/>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D12C45"/>
    <w:multiLevelType w:val="hybridMultilevel"/>
    <w:tmpl w:val="1C9C1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0C03D8"/>
    <w:multiLevelType w:val="hybridMultilevel"/>
    <w:tmpl w:val="E2D803AC"/>
    <w:lvl w:ilvl="0" w:tplc="28A486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59082D"/>
    <w:multiLevelType w:val="hybridMultilevel"/>
    <w:tmpl w:val="91420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754390"/>
    <w:multiLevelType w:val="hybridMultilevel"/>
    <w:tmpl w:val="7BF299D6"/>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F7552D"/>
    <w:multiLevelType w:val="hybridMultilevel"/>
    <w:tmpl w:val="AD7033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5A56B6"/>
    <w:multiLevelType w:val="hybridMultilevel"/>
    <w:tmpl w:val="4E6E5CF0"/>
    <w:lvl w:ilvl="0" w:tplc="D2E061E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187D14"/>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79B6D05"/>
    <w:multiLevelType w:val="hybridMultilevel"/>
    <w:tmpl w:val="FC2E0CBE"/>
    <w:lvl w:ilvl="0" w:tplc="1124D4FA">
      <w:start w:val="1"/>
      <w:numFmt w:val="decimal"/>
      <w:lvlText w:val="%1."/>
      <w:lvlJc w:val="left"/>
      <w:pPr>
        <w:ind w:left="720" w:hanging="360"/>
      </w:pPr>
      <w:rPr>
        <w:b/>
        <w:bCs/>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941251"/>
    <w:multiLevelType w:val="hybridMultilevel"/>
    <w:tmpl w:val="DBA03C4C"/>
    <w:lvl w:ilvl="0" w:tplc="BFE2E13A">
      <w:start w:val="1"/>
      <w:numFmt w:val="lowerLetter"/>
      <w:lvlText w:val="%1."/>
      <w:lvlJc w:val="left"/>
      <w:pPr>
        <w:ind w:left="1080" w:hanging="720"/>
      </w:pPr>
      <w:rPr>
        <w:rFonts w:hint="default"/>
        <w:b/>
        <w:bCs/>
      </w:rPr>
    </w:lvl>
    <w:lvl w:ilvl="1" w:tplc="9998E7A4">
      <w:start w:val="1"/>
      <w:numFmt w:val="bullet"/>
      <w:lvlText w:val="•"/>
      <w:lvlJc w:val="left"/>
      <w:pPr>
        <w:ind w:left="1440" w:hanging="360"/>
      </w:pPr>
      <w:rPr>
        <w:rFonts w:ascii="Arial" w:eastAsiaTheme="minorHAns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6B5DCA"/>
    <w:multiLevelType w:val="hybridMultilevel"/>
    <w:tmpl w:val="97562536"/>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3">
    <w:nsid w:val="438D43AF"/>
    <w:multiLevelType w:val="hybridMultilevel"/>
    <w:tmpl w:val="C2EA0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DD81737"/>
    <w:multiLevelType w:val="hybridMultilevel"/>
    <w:tmpl w:val="AAAE87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FF704CF"/>
    <w:multiLevelType w:val="hybridMultilevel"/>
    <w:tmpl w:val="3444A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53252E"/>
    <w:multiLevelType w:val="hybridMultilevel"/>
    <w:tmpl w:val="140C5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ED2466"/>
    <w:multiLevelType w:val="hybridMultilevel"/>
    <w:tmpl w:val="B7407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4234CF"/>
    <w:multiLevelType w:val="hybridMultilevel"/>
    <w:tmpl w:val="51662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29E697A"/>
    <w:multiLevelType w:val="hybridMultilevel"/>
    <w:tmpl w:val="8290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9E36F9"/>
    <w:multiLevelType w:val="hybridMultilevel"/>
    <w:tmpl w:val="774E5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8A3B9E"/>
    <w:multiLevelType w:val="hybridMultilevel"/>
    <w:tmpl w:val="B0A412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C4E0767"/>
    <w:multiLevelType w:val="hybridMultilevel"/>
    <w:tmpl w:val="1A6854BC"/>
    <w:lvl w:ilvl="0" w:tplc="382C683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E071763"/>
    <w:multiLevelType w:val="hybridMultilevel"/>
    <w:tmpl w:val="C6D68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F360DCE"/>
    <w:multiLevelType w:val="hybridMultilevel"/>
    <w:tmpl w:val="7DB4F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1"/>
  </w:num>
  <w:num w:numId="4">
    <w:abstractNumId w:val="6"/>
  </w:num>
  <w:num w:numId="5">
    <w:abstractNumId w:val="11"/>
  </w:num>
  <w:num w:numId="6">
    <w:abstractNumId w:val="10"/>
  </w:num>
  <w:num w:numId="7">
    <w:abstractNumId w:val="4"/>
  </w:num>
  <w:num w:numId="8">
    <w:abstractNumId w:val="16"/>
  </w:num>
  <w:num w:numId="9">
    <w:abstractNumId w:val="13"/>
  </w:num>
  <w:num w:numId="10">
    <w:abstractNumId w:val="0"/>
  </w:num>
  <w:num w:numId="11">
    <w:abstractNumId w:val="5"/>
  </w:num>
  <w:num w:numId="12">
    <w:abstractNumId w:val="14"/>
  </w:num>
  <w:num w:numId="13">
    <w:abstractNumId w:val="7"/>
  </w:num>
  <w:num w:numId="14">
    <w:abstractNumId w:val="12"/>
  </w:num>
  <w:num w:numId="15">
    <w:abstractNumId w:val="15"/>
  </w:num>
  <w:num w:numId="16">
    <w:abstractNumId w:val="3"/>
  </w:num>
  <w:num w:numId="17">
    <w:abstractNumId w:val="23"/>
  </w:num>
  <w:num w:numId="18">
    <w:abstractNumId w:val="17"/>
  </w:num>
  <w:num w:numId="19">
    <w:abstractNumId w:val="20"/>
  </w:num>
  <w:num w:numId="20">
    <w:abstractNumId w:val="21"/>
  </w:num>
  <w:num w:numId="21">
    <w:abstractNumId w:val="24"/>
  </w:num>
  <w:num w:numId="22">
    <w:abstractNumId w:val="18"/>
  </w:num>
  <w:num w:numId="23">
    <w:abstractNumId w:val="19"/>
  </w:num>
  <w:num w:numId="24">
    <w:abstractNumId w:val="22"/>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4E9C"/>
    <w:rsid w:val="0006204C"/>
    <w:rsid w:val="000829B7"/>
    <w:rsid w:val="00090037"/>
    <w:rsid w:val="000A6499"/>
    <w:rsid w:val="000E2821"/>
    <w:rsid w:val="00104721"/>
    <w:rsid w:val="0012350B"/>
    <w:rsid w:val="001263E5"/>
    <w:rsid w:val="00165890"/>
    <w:rsid w:val="0017783A"/>
    <w:rsid w:val="001A4EAB"/>
    <w:rsid w:val="001C794D"/>
    <w:rsid w:val="002034A1"/>
    <w:rsid w:val="0022168B"/>
    <w:rsid w:val="00254540"/>
    <w:rsid w:val="002B1126"/>
    <w:rsid w:val="002C1FBA"/>
    <w:rsid w:val="002C7665"/>
    <w:rsid w:val="002F2434"/>
    <w:rsid w:val="00305443"/>
    <w:rsid w:val="00310ED6"/>
    <w:rsid w:val="00361066"/>
    <w:rsid w:val="00380578"/>
    <w:rsid w:val="00387A64"/>
    <w:rsid w:val="003A74D8"/>
    <w:rsid w:val="003B6DC6"/>
    <w:rsid w:val="0042245E"/>
    <w:rsid w:val="00455293"/>
    <w:rsid w:val="004735D0"/>
    <w:rsid w:val="00493CEC"/>
    <w:rsid w:val="004A701B"/>
    <w:rsid w:val="004B6ADE"/>
    <w:rsid w:val="004D4F96"/>
    <w:rsid w:val="005022F4"/>
    <w:rsid w:val="005505EF"/>
    <w:rsid w:val="00553A44"/>
    <w:rsid w:val="00590119"/>
    <w:rsid w:val="005A5A95"/>
    <w:rsid w:val="005D37CF"/>
    <w:rsid w:val="005D760D"/>
    <w:rsid w:val="0061544C"/>
    <w:rsid w:val="0064711A"/>
    <w:rsid w:val="0069593E"/>
    <w:rsid w:val="006F214E"/>
    <w:rsid w:val="007C13AD"/>
    <w:rsid w:val="007E1AD7"/>
    <w:rsid w:val="007E463F"/>
    <w:rsid w:val="00810E3F"/>
    <w:rsid w:val="00814D01"/>
    <w:rsid w:val="00837C81"/>
    <w:rsid w:val="00845DF2"/>
    <w:rsid w:val="0084628C"/>
    <w:rsid w:val="0084691D"/>
    <w:rsid w:val="00857479"/>
    <w:rsid w:val="00883E16"/>
    <w:rsid w:val="008A327A"/>
    <w:rsid w:val="008C6E0B"/>
    <w:rsid w:val="008D739F"/>
    <w:rsid w:val="00921E07"/>
    <w:rsid w:val="009345E9"/>
    <w:rsid w:val="00962F52"/>
    <w:rsid w:val="00971CC2"/>
    <w:rsid w:val="00997BA6"/>
    <w:rsid w:val="009B1C45"/>
    <w:rsid w:val="009B4A1E"/>
    <w:rsid w:val="009D54AA"/>
    <w:rsid w:val="009E4D3C"/>
    <w:rsid w:val="009F6773"/>
    <w:rsid w:val="00A00760"/>
    <w:rsid w:val="00A12728"/>
    <w:rsid w:val="00A159E3"/>
    <w:rsid w:val="00A469BC"/>
    <w:rsid w:val="00A561A9"/>
    <w:rsid w:val="00A74B65"/>
    <w:rsid w:val="00AA2506"/>
    <w:rsid w:val="00AA5A57"/>
    <w:rsid w:val="00AF0183"/>
    <w:rsid w:val="00AF2DB2"/>
    <w:rsid w:val="00AF7210"/>
    <w:rsid w:val="00B70917"/>
    <w:rsid w:val="00BB2686"/>
    <w:rsid w:val="00BF7180"/>
    <w:rsid w:val="00C71871"/>
    <w:rsid w:val="00CC305F"/>
    <w:rsid w:val="00CD6F8A"/>
    <w:rsid w:val="00CF4E9C"/>
    <w:rsid w:val="00D12E30"/>
    <w:rsid w:val="00D164EA"/>
    <w:rsid w:val="00D47475"/>
    <w:rsid w:val="00D760D9"/>
    <w:rsid w:val="00D767E6"/>
    <w:rsid w:val="00DB0E94"/>
    <w:rsid w:val="00DC545C"/>
    <w:rsid w:val="00E02027"/>
    <w:rsid w:val="00E17EAA"/>
    <w:rsid w:val="00E223A5"/>
    <w:rsid w:val="00E24334"/>
    <w:rsid w:val="00E74F51"/>
    <w:rsid w:val="00E81596"/>
    <w:rsid w:val="00EE1A7E"/>
    <w:rsid w:val="00F24527"/>
    <w:rsid w:val="00F90738"/>
    <w:rsid w:val="00F9234D"/>
    <w:rsid w:val="00F9352D"/>
    <w:rsid w:val="00F93BB4"/>
    <w:rsid w:val="00F9695A"/>
    <w:rsid w:val="00FA3838"/>
    <w:rsid w:val="00FB294F"/>
    <w:rsid w:val="00FB472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176D02D0-8C44-4601-95E2-B4173F98A017}"/>
  <w:documentProtection w:edit="forms" w:enforcement="true" w:cryptProviderType="rsaFull" w:cryptAlgorithmClass="hash" w:cryptAlgorithmType="typeAny" w:cryptAlgorithmSid="4" w:cryptSpinCount="50000" w:hash="96s3CmPbZpsN/D4qg/90mKhIPJU=" w:salt="R0J2qJvcoJIY0FOT/RT9Nw=="/>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lang w:val="de-DE" w:eastAsia="de-DE" w:bidi="de-DE"/>
      </w:rPr>
    </w:rPrDefault>
    <w:pPrDefault>
      <w:pPr>
        <w:spacing w:before="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E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4E9C"/>
    <w:pPr>
      <w:tabs>
        <w:tab w:val="center" w:pos="4680"/>
        <w:tab w:val="right" w:pos="9360"/>
      </w:tabs>
      <w:spacing w:before="0"/>
    </w:pPr>
  </w:style>
  <w:style w:type="character" w:customStyle="1" w:styleId="HeaderChar">
    <w:name w:val="Header Char"/>
    <w:basedOn w:val="DefaultParagraphFont"/>
    <w:link w:val="Header"/>
    <w:uiPriority w:val="99"/>
    <w:rsid w:val="00CF4E9C"/>
  </w:style>
  <w:style w:type="paragraph" w:styleId="Footer">
    <w:name w:val="footer"/>
    <w:basedOn w:val="Normal"/>
    <w:link w:val="FooterChar"/>
    <w:uiPriority w:val="99"/>
    <w:unhideWhenUsed/>
    <w:rsid w:val="00CF4E9C"/>
    <w:pPr>
      <w:tabs>
        <w:tab w:val="center" w:pos="4680"/>
        <w:tab w:val="right" w:pos="9360"/>
      </w:tabs>
      <w:spacing w:before="0"/>
    </w:pPr>
  </w:style>
  <w:style w:type="character" w:customStyle="1" w:styleId="FooterChar">
    <w:name w:val="Footer Char"/>
    <w:basedOn w:val="DefaultParagraphFont"/>
    <w:link w:val="Footer"/>
    <w:uiPriority w:val="99"/>
    <w:rsid w:val="00CF4E9C"/>
  </w:style>
  <w:style w:type="table" w:styleId="TableGrid">
    <w:name w:val="Table Grid"/>
    <w:basedOn w:val="TableNormal"/>
    <w:uiPriority w:val="59"/>
    <w:rsid w:val="00CF4E9C"/>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F4E9C"/>
    <w:pPr>
      <w:ind w:left="720"/>
      <w:contextualSpacing/>
    </w:pPr>
  </w:style>
  <w:style w:type="paragraph" w:styleId="BalloonText">
    <w:name w:val="Balloon Text"/>
    <w:basedOn w:val="Normal"/>
    <w:link w:val="BalloonTextChar"/>
    <w:uiPriority w:val="99"/>
    <w:semiHidden/>
    <w:unhideWhenUsed/>
    <w:rsid w:val="00E17EA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7EAA"/>
    <w:rPr>
      <w:rFonts w:ascii="Tahoma" w:hAnsi="Tahoma" w:cs="Tahoma"/>
      <w:sz w:val="16"/>
      <w:szCs w:val="16"/>
    </w:rPr>
  </w:style>
  <w:style w:type="character" w:styleId="CommentReference">
    <w:name w:val="annotation reference"/>
    <w:basedOn w:val="DefaultParagraphFont"/>
    <w:uiPriority w:val="99"/>
    <w:semiHidden/>
    <w:unhideWhenUsed/>
    <w:rsid w:val="002B1126"/>
    <w:rPr>
      <w:sz w:val="16"/>
      <w:szCs w:val="16"/>
    </w:rPr>
  </w:style>
  <w:style w:type="paragraph" w:styleId="CommentText">
    <w:name w:val="annotation text"/>
    <w:basedOn w:val="Normal"/>
    <w:link w:val="CommentTextChar"/>
    <w:uiPriority w:val="99"/>
    <w:semiHidden/>
    <w:unhideWhenUsed/>
    <w:rsid w:val="002B1126"/>
  </w:style>
  <w:style w:type="character" w:customStyle="1" w:styleId="CommentTextChar">
    <w:name w:val="Comment Text Char"/>
    <w:basedOn w:val="DefaultParagraphFont"/>
    <w:link w:val="CommentText"/>
    <w:uiPriority w:val="99"/>
    <w:semiHidden/>
    <w:rsid w:val="002B1126"/>
  </w:style>
  <w:style w:type="paragraph" w:styleId="CommentSubject">
    <w:name w:val="annotation subject"/>
    <w:basedOn w:val="CommentText"/>
    <w:next w:val="CommentText"/>
    <w:link w:val="CommentSubjectChar"/>
    <w:uiPriority w:val="99"/>
    <w:semiHidden/>
    <w:unhideWhenUsed/>
    <w:rsid w:val="002B1126"/>
    <w:rPr>
      <w:b/>
      <w:bCs/>
    </w:rPr>
  </w:style>
  <w:style w:type="character" w:customStyle="1" w:styleId="CommentSubjectChar">
    <w:name w:val="Comment Subject Char"/>
    <w:basedOn w:val="CommentTextChar"/>
    <w:link w:val="CommentSubject"/>
    <w:uiPriority w:val="99"/>
    <w:semiHidden/>
    <w:rsid w:val="002B1126"/>
    <w:rPr>
      <w:b/>
      <w:bCs/>
    </w:rPr>
  </w:style>
  <w:style w:type="paragraph" w:styleId="Revision">
    <w:name w:val="Revision"/>
    <w:hidden/>
    <w:uiPriority w:val="99"/>
    <w:semiHidden/>
    <w:rsid w:val="002B1126"/>
    <w:pPr>
      <w:spacing w:before="0"/>
      <w:jc w:val="left"/>
    </w:pPr>
  </w:style>
  <w:style w:type="character" w:customStyle="1" w:styleId="LogoportDoNotTranslate">
    <w:name w:val="LogoportDoNotTranslate"/>
    <w:basedOn w:val="DefaultParagraphFont"/>
    <w:rsid w:val="00D767E6"/>
    <w:rPr>
      <w:rFonts w:ascii="Courier New" w:hAnsi="Courier New" w:cs="Courier New"/>
      <w:b w:val="0"/>
      <w:color w:val="808080"/>
      <w:sz w:val="18"/>
      <w:szCs w:val="36"/>
    </w:rPr>
  </w:style>
  <w:style w:type="character" w:customStyle="1" w:styleId="LogoportMarkup">
    <w:name w:val="LogoportMarkup"/>
    <w:basedOn w:val="DefaultParagraphFont"/>
    <w:rsid w:val="00D767E6"/>
    <w:rPr>
      <w:rFonts w:ascii="Courier New" w:hAnsi="Courier New" w:cs="Courier New"/>
      <w:b w:val="0"/>
      <w:color w:val="FF0000"/>
      <w:sz w:val="1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6279822">
      <w:bodyDiv w:val="1"/>
      <w:marLeft w:val="0"/>
      <w:marRight w:val="0"/>
      <w:marTop w:val="0"/>
      <w:marBottom w:val="0"/>
      <w:divBdr>
        <w:top w:val="none" w:sz="0" w:space="0" w:color="auto"/>
        <w:left w:val="none" w:sz="0" w:space="0" w:color="auto"/>
        <w:bottom w:val="none" w:sz="0" w:space="0" w:color="auto"/>
        <w:right w:val="none" w:sz="0" w:space="0" w:color="auto"/>
      </w:divBdr>
    </w:div>
    <w:div w:id="1195996739">
      <w:bodyDiv w:val="1"/>
      <w:marLeft w:val="0"/>
      <w:marRight w:val="0"/>
      <w:marTop w:val="0"/>
      <w:marBottom w:val="0"/>
      <w:divBdr>
        <w:top w:val="none" w:sz="0" w:space="0" w:color="auto"/>
        <w:left w:val="none" w:sz="0" w:space="0" w:color="auto"/>
        <w:bottom w:val="none" w:sz="0" w:space="0" w:color="auto"/>
        <w:right w:val="none" w:sz="0" w:space="0" w:color="auto"/>
      </w:divBdr>
    </w:div>
    <w:div w:id="1425760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230e9df3-be65-4c73-a93b-d1236ebd677e">
      <Terms xmlns="http://schemas.microsoft.com/office/infopath/2007/PartnerControls"/>
    </TaxKeywordTaxHTField>
    <TaxCatchAll xmlns="230e9df3-be65-4c73-a93b-d1236ebd677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3CBE26B4809B48B6FDD40945FAE36D" ma:contentTypeVersion="1" ma:contentTypeDescription="Create a new document." ma:contentTypeScope="" ma:versionID="c8ff207410a71e57fb3aceb19d6e4345">
  <xsd:schema xmlns:xsd="http://www.w3.org/2001/XMLSchema" xmlns:xs="http://www.w3.org/2001/XMLSchema" xmlns:p="http://schemas.microsoft.com/office/2006/metadata/properties" xmlns:ns3="230e9df3-be65-4c73-a93b-d1236ebd677e" xmlns:ns4="452e1114-74f1-45d8-9bf6-76ca7629084e" targetNamespace="http://schemas.microsoft.com/office/2006/metadata/properties" ma:root="true" ma:fieldsID="82c80b5bb567105c0f0d7b2fba03a6ad" ns3:_="" ns4:_="">
    <xsd:import namespace="230e9df3-be65-4c73-a93b-d1236ebd677e"/>
    <xsd:import namespace="452e1114-74f1-45d8-9bf6-76ca7629084e"/>
    <xsd:element name="properties">
      <xsd:complexType>
        <xsd:sequence>
          <xsd:element name="documentManagement">
            <xsd:complexType>
              <xsd:all>
                <xsd:element ref="ns3:TaxKeywordTaxHTField" minOccurs="0"/>
                <xsd:element ref="ns3:TaxCatchAll" minOccurs="0"/>
                <xsd:element ref="ns3:TaxCatchAllLabel"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fieldId="{23f27201-bee3-471e-b2e7-b64fd8b7ca38}" ma:taxonomyMulti="true" ma:sspId="e385fb40-52d4-4fae-9c5b-3e8ff8a5878e"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15bd4417-ae62-4ca1-ac11-a7df9af4aa7d}" ma:internalName="TaxCatchAll" ma:showField="CatchAllData" ma:web="452e1114-74f1-45d8-9bf6-76ca7629084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5bd4417-ae62-4ca1-ac11-a7df9af4aa7d}" ma:internalName="TaxCatchAllLabel" ma:readOnly="true" ma:showField="CatchAllDataLabel" ma:web="452e1114-74f1-45d8-9bf6-76ca7629084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52e1114-74f1-45d8-9bf6-76ca7629084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2768FF-E4F0-4EB2-AFE0-E10521E886F3}">
  <ds:schemaRefs>
    <ds:schemaRef ds:uri="http://schemas.microsoft.com/office/2006/metadata/properties"/>
    <ds:schemaRef ds:uri="http://schemas.microsoft.com/office/infopath/2007/PartnerControls"/>
    <ds:schemaRef ds:uri="230e9df3-be65-4c73-a93b-d1236ebd677e"/>
  </ds:schemaRefs>
</ds:datastoreItem>
</file>

<file path=customXml/itemProps2.xml><?xml version="1.0" encoding="utf-8"?>
<ds:datastoreItem xmlns:ds="http://schemas.openxmlformats.org/officeDocument/2006/customXml" ds:itemID="{CD7AE154-7E54-4494-A60B-7E9023D820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0e9df3-be65-4c73-a93b-d1236ebd677e"/>
    <ds:schemaRef ds:uri="452e1114-74f1-45d8-9bf6-76ca76290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16B83B-EBBD-469A-ADA1-BA8B76AEA1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814</Words>
  <Characters>4641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Xtreme Consulting Group, Inc.</Company>
  <LinksUpToDate>false</LinksUpToDate>
  <CharactersWithSpaces>5445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Alexandra Myles (Inviso)</cp:lastModifiedBy>
  <cp:revision>30</cp:revision>
  <cp:lastPrinted>2014-09-29T10:58:00Z</cp:lastPrinted>
  <dcterms:created xsi:type="dcterms:W3CDTF">2014-09-05T03:56:00Z</dcterms:created>
  <dcterms:modified xsi:type="dcterms:W3CDTF">2014-10-07T18:29:00Z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3014e742-e357-48ab-90db-c29bcec68fbb</vt:lpwstr>
  </property>
  <property fmtid="{D5CDD505-2E9C-101B-9397-08002B2CF9AE}" pid="3" name="ContentTypeId">
    <vt:lpwstr>0x010100163CBE26B4809B48B6FDD40945FAE36D</vt:lpwstr>
  </property>
  <property fmtid="{D5CDD505-2E9C-101B-9397-08002B2CF9AE}" pid="4" name="TemplateUrl">
    <vt:lpwstr/>
  </property>
  <property fmtid="{D5CDD505-2E9C-101B-9397-08002B2CF9AE}" pid="5" name="Order">
    <vt:r8>12113900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IsMyDocuments">
    <vt:bool>true</vt:bool>
  </property>
  <property fmtid="{D5CDD505-2E9C-101B-9397-08002B2CF9AE}" pid="11" name="TaxKeyword">
    <vt:lpwstr/>
  </property>
</Properties>
</file>