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Pr="006176DC" w:rsidRDefault="00CF4E9C" w:rsidP="00BB2686">
      <w:pPr>
        <w:spacing w:before="240"/>
        <w:jc w:val="left"/>
        <w:rPr>
          <w:sz w:val="36"/>
          <w:szCs w:val="36"/>
        </w:rPr>
        <w:sectPr w:rsidR="00BB2686" w:rsidRPr="006176DC"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sidRPr="006176DC">
        <w:rPr>
          <w:sz w:val="36"/>
          <w:szCs w:val="36"/>
        </w:rPr>
        <w:t>Ορισμός Καταλληλότητας Δημοσίου της Microsoft</w:t>
      </w:r>
      <w:r w:rsidR="0003749C" w:rsidRPr="006176DC">
        <w:rPr>
          <w:sz w:val="36"/>
          <w:szCs w:val="36"/>
          <w:lang w:val="en-US"/>
        </w:rPr>
        <w:t> </w:t>
      </w:r>
      <w:r w:rsidRPr="006176DC">
        <w:rPr>
          <w:sz w:val="36"/>
          <w:szCs w:val="36"/>
        </w:rPr>
        <w:t>(EMEA)</w:t>
      </w:r>
    </w:p>
    <w:p w:rsidR="00CF4E9C" w:rsidRPr="006176DC" w:rsidRDefault="002B1126" w:rsidP="00883E16">
      <w:pPr>
        <w:spacing w:before="360" w:after="120"/>
      </w:pPr>
      <w:r w:rsidRPr="006176DC">
        <w:lastRenderedPageBreak/>
        <w:t>Οργανισμοί του δημόσιου τομέα που εμπίπτουν στις κατηγορίες ή τα κριτήρια που ορίζονται και περιγράφονται παρακάτω είναι κατάλληλοι για συμμετοχή στα προγράμματα παραχώρησης πολλαπλών αδειών χρήσης της Microsoft τα οποία είναι ειδικά σχεδιασμένα για το Δημόσιο</w:t>
      </w:r>
      <w:r w:rsidR="002D3242" w:rsidRPr="006176DC">
        <w:t xml:space="preserve"> («κατάλληλα νομικά πρόσωπα»). </w:t>
      </w:r>
      <w:r w:rsidRPr="006176DC">
        <w:t>Ως «κατάλληλο νομικό πρόσωπο» ορίζεται κάθε οργανισμός που λειτουργεί για μη κερδοσκοπικούς σκοπούς και εμπίπτει σε μί</w:t>
      </w:r>
      <w:r w:rsidR="002D3242" w:rsidRPr="006176DC">
        <w:t xml:space="preserve">α από τις παρακάτω κατηγορίες: </w:t>
      </w:r>
    </w:p>
    <w:tbl>
      <w:tblPr>
        <w:tblStyle w:val="TableGrid"/>
        <w:tblW w:w="9029" w:type="dxa"/>
        <w:jc w:val="center"/>
        <w:tblLook w:val="04A0" w:firstRow="1" w:lastRow="0" w:firstColumn="1" w:lastColumn="0" w:noHBand="0" w:noVBand="1"/>
      </w:tblPr>
      <w:tblGrid>
        <w:gridCol w:w="4254"/>
        <w:gridCol w:w="4775"/>
      </w:tblGrid>
      <w:tr w:rsidR="00CF4E9C" w:rsidRPr="006176DC" w:rsidTr="0003749C">
        <w:trPr>
          <w:cantSplit/>
          <w:tblHeader/>
          <w:jc w:val="center"/>
        </w:trPr>
        <w:tc>
          <w:tcPr>
            <w:tcW w:w="9029" w:type="dxa"/>
            <w:gridSpan w:val="2"/>
            <w:shd w:val="clear" w:color="auto" w:fill="000000" w:themeFill="text1"/>
          </w:tcPr>
          <w:p w:rsidR="00CF4E9C" w:rsidRPr="006176DC" w:rsidRDefault="00CF4E9C" w:rsidP="00883E16">
            <w:pPr>
              <w:keepNext/>
              <w:spacing w:before="120" w:after="120"/>
              <w:rPr>
                <w:b/>
                <w:bCs/>
                <w:color w:val="FFFFFF" w:themeColor="background1"/>
              </w:rPr>
            </w:pPr>
            <w:r w:rsidRPr="006176DC">
              <w:rPr>
                <w:b/>
                <w:bCs/>
                <w:color w:val="FFFFFF" w:themeColor="background1"/>
              </w:rPr>
              <w:t>Κατηγορίες</w:t>
            </w:r>
          </w:p>
        </w:tc>
      </w:tr>
      <w:tr w:rsidR="00CF4E9C" w:rsidRPr="006176DC" w:rsidTr="0003749C">
        <w:trPr>
          <w:cantSplit/>
          <w:jc w:val="center"/>
        </w:trPr>
        <w:tc>
          <w:tcPr>
            <w:tcW w:w="4254" w:type="dxa"/>
            <w:vAlign w:val="center"/>
          </w:tcPr>
          <w:p w:rsidR="00CF4E9C" w:rsidRPr="006176DC" w:rsidRDefault="00CF4E9C" w:rsidP="00883E16">
            <w:pPr>
              <w:spacing w:before="120" w:after="120"/>
              <w:jc w:val="left"/>
              <w:rPr>
                <w:b/>
                <w:bCs/>
              </w:rPr>
            </w:pPr>
            <w:r w:rsidRPr="006176DC">
              <w:rPr>
                <w:b/>
                <w:bCs/>
              </w:rPr>
              <w:t>A. Υπερεθνικοί</w:t>
            </w:r>
          </w:p>
        </w:tc>
        <w:tc>
          <w:tcPr>
            <w:tcW w:w="4775" w:type="dxa"/>
            <w:vAlign w:val="center"/>
          </w:tcPr>
          <w:p w:rsidR="00CF4E9C" w:rsidRPr="006176DC" w:rsidRDefault="00CF4E9C" w:rsidP="00883E16">
            <w:pPr>
              <w:spacing w:before="120" w:after="120"/>
            </w:pPr>
            <w:r w:rsidRPr="006176DC">
              <w:t>Όλοι οι οργανισμοί/ιδρύματα που έχουν σαφή και διακριτό ρυθμιστικό ή νομοθετικό ρόλο σε πολλές εθνικές κυβερνήσεις.</w:t>
            </w:r>
          </w:p>
        </w:tc>
      </w:tr>
      <w:tr w:rsidR="00CF4E9C" w:rsidRPr="006176DC" w:rsidTr="0003749C">
        <w:trPr>
          <w:cantSplit/>
          <w:jc w:val="center"/>
        </w:trPr>
        <w:tc>
          <w:tcPr>
            <w:tcW w:w="4254" w:type="dxa"/>
            <w:vAlign w:val="center"/>
          </w:tcPr>
          <w:p w:rsidR="00CF4E9C" w:rsidRPr="006176DC" w:rsidRDefault="00CF4E9C" w:rsidP="00883E16">
            <w:pPr>
              <w:spacing w:before="120" w:after="120"/>
              <w:jc w:val="left"/>
              <w:rPr>
                <w:b/>
                <w:bCs/>
              </w:rPr>
            </w:pPr>
            <w:r w:rsidRPr="006176DC">
              <w:rPr>
                <w:b/>
                <w:bCs/>
              </w:rPr>
              <w:t>B. Εθνικοί/Ομοσπονδιακοί</w:t>
            </w:r>
          </w:p>
        </w:tc>
        <w:tc>
          <w:tcPr>
            <w:tcW w:w="4775" w:type="dxa"/>
            <w:vAlign w:val="center"/>
          </w:tcPr>
          <w:p w:rsidR="00CF4E9C" w:rsidRPr="006176DC" w:rsidRDefault="00CF4E9C" w:rsidP="0003749C">
            <w:pPr>
              <w:spacing w:before="120" w:after="120"/>
            </w:pPr>
            <w:r w:rsidRPr="006176DC">
              <w:t>Όλοι οι κυβερνητικοί οργανισμοί/κυβερνητικά ιδρύματα των οποίων η διοίκηση γίνεται σε ομοσπονδιακό/εθνικό επίπεδο και οι οποίοι ασκούν διακυβερνητική εξουσία σε εθνικό,</w:t>
            </w:r>
            <w:r w:rsidR="002D3242" w:rsidRPr="006176DC">
              <w:t xml:space="preserve"> πολιτειακό ή</w:t>
            </w:r>
            <w:r w:rsidR="0003749C" w:rsidRPr="006176DC">
              <w:rPr>
                <w:lang w:val="en-US"/>
              </w:rPr>
              <w:t> </w:t>
            </w:r>
            <w:r w:rsidR="002D3242" w:rsidRPr="006176DC">
              <w:t xml:space="preserve">κρατικό επίπεδο. </w:t>
            </w:r>
            <w:r w:rsidRPr="006176DC">
              <w:t>Σε αυτήν την κατηγορία συμπεριλαμβάνονται κοινοβουλευτικά και δικαστικά όργανα με εξουσία εφαρμογής ή θέσπισης των νόμων δικαίου.</w:t>
            </w:r>
          </w:p>
        </w:tc>
      </w:tr>
      <w:tr w:rsidR="00CF4E9C" w:rsidRPr="006176DC" w:rsidTr="0003749C">
        <w:trPr>
          <w:cantSplit/>
          <w:jc w:val="center"/>
        </w:trPr>
        <w:tc>
          <w:tcPr>
            <w:tcW w:w="4254" w:type="dxa"/>
            <w:vAlign w:val="center"/>
          </w:tcPr>
          <w:p w:rsidR="00CF4E9C" w:rsidRPr="006176DC" w:rsidRDefault="0003749C" w:rsidP="00883E16">
            <w:pPr>
              <w:spacing w:before="120" w:after="120"/>
              <w:jc w:val="left"/>
              <w:rPr>
                <w:b/>
                <w:bCs/>
                <w:spacing w:val="-4"/>
              </w:rPr>
            </w:pPr>
            <w:r w:rsidRPr="006176DC">
              <w:rPr>
                <w:b/>
                <w:bCs/>
                <w:spacing w:val="-4"/>
              </w:rPr>
              <w:t>C. Περιφερειακοί/Πολιτειακοί/</w:t>
            </w:r>
            <w:r w:rsidR="00CF4E9C" w:rsidRPr="006176DC">
              <w:rPr>
                <w:b/>
                <w:bCs/>
                <w:spacing w:val="-4"/>
              </w:rPr>
              <w:t>Επαρχιακοί</w:t>
            </w:r>
          </w:p>
        </w:tc>
        <w:tc>
          <w:tcPr>
            <w:tcW w:w="4775" w:type="dxa"/>
            <w:vAlign w:val="center"/>
          </w:tcPr>
          <w:p w:rsidR="00CF4E9C" w:rsidRPr="006176DC" w:rsidRDefault="00CF4E9C" w:rsidP="0003749C">
            <w:pPr>
              <w:spacing w:before="120" w:after="120"/>
            </w:pPr>
            <w:r w:rsidRPr="006176DC">
              <w:t>Μια ενδιάμεση Κυβερνητική βαθμίδα η οποία δεν</w:t>
            </w:r>
            <w:r w:rsidR="0003749C" w:rsidRPr="006176DC">
              <w:rPr>
                <w:lang w:val="en-US"/>
              </w:rPr>
              <w:t> </w:t>
            </w:r>
            <w:r w:rsidRPr="006176DC">
              <w:t>καλύπτει ολόκληρη την κρατική επικράτεια διαθέτει πολλαπλές αρμοδιότητες τοπικής διακυβέρνησης εντός της περιοχής δικαιοδοσίας της.</w:t>
            </w:r>
            <w:r w:rsidR="0003749C" w:rsidRPr="006176DC">
              <w:rPr>
                <w:lang w:val="en-US"/>
              </w:rPr>
              <w:t> </w:t>
            </w:r>
            <w:r w:rsidRPr="006176DC">
              <w:t>Σε αυτήν την κατηγορία συμπεριλαμβάνονται (1)</w:t>
            </w:r>
            <w:r w:rsidR="0003749C" w:rsidRPr="006176DC">
              <w:rPr>
                <w:lang w:val="en-US"/>
              </w:rPr>
              <w:t> </w:t>
            </w:r>
            <w:r w:rsidRPr="006176DC">
              <w:t>όλοι οι κυβερνητικοί οργανισμοί/κυβερνητικά ιδρύματα των οποίων η διοίκηση γίνεται σε πολιτειακό/περιφερειακό επίπεδο και φέρουν τις εξής ονομασίες: περιφέρειες, διαμερίσματα, πολιτείες, κρατίδια, κομητείες ή επαρχίες και (2)</w:t>
            </w:r>
            <w:r w:rsidR="0003749C" w:rsidRPr="006176DC">
              <w:rPr>
                <w:lang w:val="en-US"/>
              </w:rPr>
              <w:t> </w:t>
            </w:r>
            <w:r w:rsidRPr="006176DC">
              <w:t>όλα τα υπουργεία, τα κοινοβουλευτικά όργανα, οι ρυθμιστικές αρχές και τα δικαστικά όργανα που διαθέτουν εξουσίες εφαρμογή ή θέσπισης των νόμων δικαίου στην εν λόγω περιφέρεια, διαμέρισμα, πολιτεία, κρατίδιο, κομητεία ή επαρχία.</w:t>
            </w:r>
          </w:p>
        </w:tc>
      </w:tr>
      <w:tr w:rsidR="00CF4E9C" w:rsidRPr="006176DC" w:rsidTr="0003749C">
        <w:trPr>
          <w:cantSplit/>
          <w:jc w:val="center"/>
        </w:trPr>
        <w:tc>
          <w:tcPr>
            <w:tcW w:w="4254" w:type="dxa"/>
            <w:vAlign w:val="center"/>
          </w:tcPr>
          <w:p w:rsidR="00CF4E9C" w:rsidRPr="006176DC" w:rsidRDefault="002B207D" w:rsidP="00883E16">
            <w:pPr>
              <w:spacing w:before="120" w:after="120"/>
              <w:jc w:val="left"/>
              <w:rPr>
                <w:b/>
                <w:bCs/>
              </w:rPr>
            </w:pPr>
            <w:r w:rsidRPr="006176DC">
              <w:rPr>
                <w:b/>
                <w:bCs/>
                <w:lang w:val="en-US"/>
              </w:rPr>
              <w:t>D</w:t>
            </w:r>
            <w:r w:rsidR="00CF4E9C" w:rsidRPr="006176DC">
              <w:rPr>
                <w:b/>
                <w:bCs/>
              </w:rPr>
              <w:t>. Τοπικοί/Δημοτικοί</w:t>
            </w:r>
          </w:p>
        </w:tc>
        <w:tc>
          <w:tcPr>
            <w:tcW w:w="4775" w:type="dxa"/>
            <w:vAlign w:val="center"/>
          </w:tcPr>
          <w:p w:rsidR="00CF4E9C" w:rsidRPr="006176DC" w:rsidRDefault="00CF4E9C" w:rsidP="0003749C">
            <w:pPr>
              <w:spacing w:before="120" w:after="120"/>
            </w:pPr>
            <w:r w:rsidRPr="006176DC">
              <w:t>Η χαμηλότερα βαθμίδα διακυβέρνησης και της</w:t>
            </w:r>
            <w:r w:rsidR="0003749C" w:rsidRPr="006176DC">
              <w:rPr>
                <w:lang w:val="en-US"/>
              </w:rPr>
              <w:t> </w:t>
            </w:r>
            <w:r w:rsidRPr="006176DC">
              <w:t>συναφούς αυτοδιοίκησης. Σε αυτήν συμπεριλαμβάνονται όλοι οι κυβερνητικοί οργανισμοί/ιδρύματα των οποίων η διοίκηση ασκείται σε επίπεδο πόλης, κωμόπολης, περιφέρειας, δήμου, χωριού, κοινότητας και συνοικίας (π.χ. φορείς οργάνωσης ψυχαγωγικών δραστηριοτήτων, συλλογής απορριμμάτων, πυρόσβεσης, καθώς και φορείς που παρέχουν υπηρεσίες σε τοπικό επίπεδο ή κατόπιν νομοθετικής εξουσιοδότησης).</w:t>
            </w:r>
          </w:p>
        </w:tc>
      </w:tr>
      <w:tr w:rsidR="00CF4E9C" w:rsidRPr="006176DC" w:rsidTr="0003749C">
        <w:trPr>
          <w:cantSplit/>
          <w:jc w:val="center"/>
        </w:trPr>
        <w:tc>
          <w:tcPr>
            <w:tcW w:w="4254" w:type="dxa"/>
            <w:vAlign w:val="center"/>
          </w:tcPr>
          <w:p w:rsidR="00CF4E9C" w:rsidRPr="006176DC" w:rsidRDefault="00CF4E9C" w:rsidP="00883E16">
            <w:pPr>
              <w:spacing w:before="120" w:after="120"/>
              <w:jc w:val="left"/>
              <w:rPr>
                <w:b/>
                <w:bCs/>
              </w:rPr>
            </w:pPr>
            <w:r w:rsidRPr="006176DC">
              <w:rPr>
                <w:b/>
                <w:bCs/>
              </w:rPr>
              <w:lastRenderedPageBreak/>
              <w:t>E. Τομέας Υγείας και Ιατρικής Περίθαλψης</w:t>
            </w:r>
          </w:p>
        </w:tc>
        <w:tc>
          <w:tcPr>
            <w:tcW w:w="4775" w:type="dxa"/>
            <w:vAlign w:val="center"/>
          </w:tcPr>
          <w:p w:rsidR="00CF4E9C" w:rsidRPr="006176DC" w:rsidRDefault="00CF4E9C" w:rsidP="00883E16">
            <w:pPr>
              <w:spacing w:before="120" w:after="120"/>
            </w:pPr>
            <w:r w:rsidRPr="006176DC">
              <w:t>Κάθε κυβερνητικός οργανισμός/κυβερνητικό ίδρυμα που παρέχει υπηρεσίες και κάλυψη ιατρικής περίθαλψης, εφαρμόζει ή καθορίζει περί πολιτικών ιατρικής περίθαλψης σε επίπεδο κράτους ή χώρας, παρέχει χρηματοδότηση για υπηρεσίες και κάλυψη ιατρικής περίθαλψης ή έχουν ρυθμιστικό ρόλο στις υπηρεσίες και την κάλυψη παροχών ιατρικής περίθαλψης.</w:t>
            </w:r>
          </w:p>
        </w:tc>
      </w:tr>
      <w:tr w:rsidR="00CF4E9C" w:rsidRPr="006176DC" w:rsidTr="0003749C">
        <w:trPr>
          <w:cantSplit/>
          <w:jc w:val="center"/>
        </w:trPr>
        <w:tc>
          <w:tcPr>
            <w:tcW w:w="4254" w:type="dxa"/>
            <w:vAlign w:val="center"/>
          </w:tcPr>
          <w:p w:rsidR="00CF4E9C" w:rsidRPr="006176DC" w:rsidRDefault="002B207D" w:rsidP="00883E16">
            <w:pPr>
              <w:spacing w:before="120" w:after="120"/>
              <w:jc w:val="left"/>
              <w:rPr>
                <w:b/>
                <w:bCs/>
              </w:rPr>
            </w:pPr>
            <w:r w:rsidRPr="006176DC">
              <w:rPr>
                <w:b/>
                <w:bCs/>
                <w:lang w:val="en-US"/>
              </w:rPr>
              <w:t>F</w:t>
            </w:r>
            <w:r w:rsidR="00CF4E9C" w:rsidRPr="006176DC">
              <w:rPr>
                <w:b/>
                <w:bCs/>
              </w:rPr>
              <w:t>. Άλλοι Κυβερνητικοί Οργανισμοί</w:t>
            </w:r>
          </w:p>
        </w:tc>
        <w:tc>
          <w:tcPr>
            <w:tcW w:w="4775" w:type="dxa"/>
            <w:vAlign w:val="center"/>
          </w:tcPr>
          <w:p w:rsidR="00CF4E9C" w:rsidRPr="006176DC" w:rsidRDefault="00CF4E9C" w:rsidP="00883E16">
            <w:pPr>
              <w:spacing w:before="120" w:after="120"/>
            </w:pPr>
            <w:r w:rsidRPr="006176DC">
              <w:t>Κάθε οργανισμός ο οποίος υπάγεται απευθείας και ελέγχεται τελικώς από διεθνώς αναγνωρισμένο φορέα άσκησης Εθνικής Δημόσιας Εξουσίας.</w:t>
            </w:r>
          </w:p>
          <w:p w:rsidR="00AA5A57" w:rsidRPr="006176DC" w:rsidRDefault="00AA5A57" w:rsidP="00883E16">
            <w:pPr>
              <w:spacing w:after="120"/>
            </w:pPr>
            <w:r w:rsidRPr="006176DC">
              <w:t xml:space="preserve">Κάθε οργανισμός ο οποίος έχει ιδρυθεί δυνάμει της νομοθεσίας για την εκπλήρωση σκοπού κοινής ωφέλειας, όπως αυτός περιγράφεται στη σχετική ισχύουσα νομοθεσία ή στο καταστατικό/τους καταγεγραμμένους στόχους του εν λόγω οργανισμού (π.χ. διοικητικά συμβούλια, δημοτικές αρχές, κυβερνητικοί ερευνητικοί οργανισμοί). </w:t>
            </w:r>
          </w:p>
        </w:tc>
      </w:tr>
    </w:tbl>
    <w:p w:rsidR="00CF4E9C" w:rsidRPr="006176DC" w:rsidRDefault="00CF4E9C" w:rsidP="00883E16">
      <w:r w:rsidRPr="006176DC">
        <w:t xml:space="preserve">Εάν κάποιος οργανισμός εμπίπτει σε μία από τις παραπάνω κατηγορίες και λειτουργεί για κερδοσκοπικούς σκοπούς, θα ισχύουν τα παρακάτω κριτήρια για να καθοριστεί εάν ένας οργανισμός μπορεί να χριστεί ή όχι κατάλληλο νομικό πρόσωπο: </w:t>
      </w:r>
    </w:p>
    <w:p w:rsidR="00CF4E9C" w:rsidRPr="006176DC" w:rsidRDefault="00CF4E9C" w:rsidP="00883E16">
      <w:pPr>
        <w:pStyle w:val="ListParagraph"/>
        <w:numPr>
          <w:ilvl w:val="0"/>
          <w:numId w:val="1"/>
        </w:numPr>
        <w:ind w:left="1080"/>
        <w:contextualSpacing w:val="0"/>
      </w:pPr>
      <w:r w:rsidRPr="006176DC">
        <w:t>Το δημόσιο είναι ο μοναδικός δικαιούχος των εσόδων/κερδών που προκύπτουν (ή</w:t>
      </w:r>
      <w:r w:rsidR="0003749C" w:rsidRPr="006176DC">
        <w:rPr>
          <w:lang w:val="en-US"/>
        </w:rPr>
        <w:t> </w:t>
      </w:r>
      <w:r w:rsidRPr="006176DC">
        <w:t>διανέμονται και σε μετόχους του ιδιωτικού τομέα)</w:t>
      </w:r>
      <w:r w:rsidR="0003749C" w:rsidRPr="006176DC">
        <w:t>;</w:t>
      </w:r>
    </w:p>
    <w:p w:rsidR="00CF4E9C" w:rsidRPr="006176DC" w:rsidRDefault="00CF4E9C" w:rsidP="00883E16">
      <w:pPr>
        <w:pStyle w:val="ListParagraph"/>
        <w:numPr>
          <w:ilvl w:val="0"/>
          <w:numId w:val="1"/>
        </w:numPr>
        <w:ind w:left="1080"/>
        <w:contextualSpacing w:val="0"/>
      </w:pPr>
      <w:r w:rsidRPr="006176DC">
        <w:t xml:space="preserve">Ο εν λόγω φορέας απαλλάσσεται από την υποχρέωση καταβολής φόρου εισοδήματος νομικών προσώπων; </w:t>
      </w:r>
    </w:p>
    <w:p w:rsidR="00CF4E9C" w:rsidRPr="006176DC" w:rsidRDefault="00CF4E9C" w:rsidP="00883E16">
      <w:pPr>
        <w:pStyle w:val="ListParagraph"/>
        <w:numPr>
          <w:ilvl w:val="0"/>
          <w:numId w:val="1"/>
        </w:numPr>
        <w:ind w:left="1080"/>
        <w:contextualSpacing w:val="0"/>
      </w:pPr>
      <w:r w:rsidRPr="006176DC">
        <w:t>Ο εν λόγω φορέας χρηματοδοτείται από το δημόσιο σε ποσοστό άνω του 50% (δηλ.</w:t>
      </w:r>
      <w:r w:rsidR="0003749C" w:rsidRPr="006176DC">
        <w:rPr>
          <w:lang w:val="en-US"/>
        </w:rPr>
        <w:t> </w:t>
      </w:r>
      <w:r w:rsidRPr="006176DC">
        <w:t>μήπως αντλεί λιγότερο από το 50% της χρηματοδότησής του από εμπορικές δραστηριότητες);</w:t>
      </w:r>
    </w:p>
    <w:p w:rsidR="00CF4E9C" w:rsidRPr="006176DC" w:rsidRDefault="00CF4E9C" w:rsidP="00883E16">
      <w:pPr>
        <w:rPr>
          <w:lang w:val="en-US"/>
        </w:rPr>
      </w:pPr>
      <w:r w:rsidRPr="006176DC">
        <w:t>Εάν η απάντηση σε όλες τις παραπάνω ερωτήσεις είναι «ναι», τότε ο οργανισμός μπορεί να χριστεί κατάλληλο νομικό πρόσωπο. Εάν η απάντηση σε οποιαδήποτε από τις ερωτήσεις είναι «όχι», τότε ο</w:t>
      </w:r>
      <w:r w:rsidR="0003749C" w:rsidRPr="006176DC">
        <w:rPr>
          <w:lang w:val="en-US"/>
        </w:rPr>
        <w:t> </w:t>
      </w:r>
      <w:r w:rsidRPr="006176DC">
        <w:t>οργανισμός δεν μπορεί να χριστεί κατάλληλο νομικό πρόσωπο. Σε γενικές γραμμές, οι οργανισμοί που ελέγχονται από το δημόσιο, οι κρατικής ιδιοκτησίας επιχειρήσεις και οι κυβερνητικής ιδιοκτησίας φορείς (ανεξάρτητα αν είναι ενσωματωμένοι ή όχι) που αναλαμβάνουν εμπορικές δραστηριότητες (π.χ. τηλεπικοινωνίες, τραπεζικές συναλλαγές, μεταφορές κ.τ.λ.) δεν μπορούν να χρι</w:t>
      </w:r>
      <w:r w:rsidR="006176DC">
        <w:t>στούν κατάλληλα νομικά πρόσωπα.</w:t>
      </w:r>
    </w:p>
    <w:p w:rsidR="00CF4E9C" w:rsidRPr="006176DC" w:rsidRDefault="00CF4E9C" w:rsidP="00883E16">
      <w:pPr>
        <w:rPr>
          <w:lang w:val="en-US"/>
        </w:rPr>
      </w:pPr>
      <w:r w:rsidRPr="006176DC">
        <w:t>Εάν η Κυβέρνηση μιας χώρας εκδώσει έναν κατάλογο με οργανισμούς του δημόσιου τομέα, αυτοί οι οργανισμοί θα πρέπει να πληρούν τα κριτήρια που ορίστηκαν σε αυτόν τον ορισμό για να μπορούν να χρι</w:t>
      </w:r>
      <w:r w:rsidR="006176DC">
        <w:t>στούν κατάλληλο νομικό πρόσωπο.</w:t>
      </w:r>
    </w:p>
    <w:p w:rsidR="00E24334" w:rsidRPr="006176DC" w:rsidRDefault="00E24334" w:rsidP="00883E16">
      <w:pPr>
        <w:rPr>
          <w:lang w:val="en-US"/>
        </w:rPr>
      </w:pPr>
      <w:r w:rsidRPr="006176DC">
        <w:t>Εάν ένας οργανισμός πάψει να είναι κατάλληλος δημόσιος φορέας μετά την υπογραφή σύμβασης για παραχώρηση άδειας χρήσης, ο οργανισμός μπορεί να συνεχίσει να χρησιμοποιεί αντίγραφα για τα οποία διαθέτει άδεια χρήσης, αλλά δεν έχει δικαίωμα να υποβάλει νέα παραγγελία για Άδειες Χρήσης στο πλαίσιο των προγραμμάτω</w:t>
      </w:r>
      <w:r w:rsidR="006176DC">
        <w:t>ν Microsoft Government License.</w:t>
      </w:r>
    </w:p>
    <w:p w:rsidR="00F9352D" w:rsidRPr="006176DC" w:rsidRDefault="00A561A9" w:rsidP="000A6499">
      <w:bookmarkStart w:id="1" w:name="OLE_LINK1"/>
      <w:bookmarkStart w:id="2" w:name="OLE_LINK2"/>
      <w:r w:rsidRPr="006176DC">
        <w:t>Στους κατάλληλους οργανισμούς του δημόσιου τομέα η Microsoft προσφέρει ειδική τιμολόγηση για το Δημόσιο (όπως προσδιορίζετ</w:t>
      </w:r>
      <w:r w:rsidR="002D3242" w:rsidRPr="006176DC">
        <w:t xml:space="preserve">αι και περιγράφεται παραπάνω). </w:t>
      </w:r>
      <w:r w:rsidRPr="006176DC">
        <w:t>Σύμφωνα με αυτές τις πρόσθετες απαιτήσεις καταλληλότητας που ενδέχεται να έχουν οριστεί σε μια συγκεκριμένη σύμβαση παραχώρησης πολλαπλών αδειών χρήσης (volume licensing), οι κατάλληλοι οργανισμοί πληρούν τις προϋποθέσεις για να λάβουν (1) επίπεδο τιμής D στο πλαίσιο των προγραμμάτων παραχώρησης πολλαπλών αδειών χρήσης (volume licensing) Enterprise, Enterprise Subscription, Select ή Select Plus ή (2) άλλες εκπτώσεις που μπορεί να είναι διαθέσιμες στο πλαίσιο άλλων προγραμμάτων παραχώρησης πολλαπλών αδειών χρήσης (volume licensing) της Microsoft.</w:t>
      </w:r>
      <w:bookmarkEnd w:id="1"/>
      <w:bookmarkEnd w:id="2"/>
    </w:p>
    <w:sectPr w:rsidR="00F9352D" w:rsidRPr="006176DC"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593" w:rsidRDefault="004D2593" w:rsidP="00CF4E9C">
      <w:pPr>
        <w:spacing w:before="0"/>
      </w:pPr>
      <w:r>
        <w:separator/>
      </w:r>
    </w:p>
  </w:endnote>
  <w:endnote w:type="continuationSeparator" w:id="0">
    <w:p w:rsidR="004D2593" w:rsidRDefault="004D2593"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C95" w:rsidRDefault="00341C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465"/>
    </w:tblGrid>
    <w:tr w:rsidR="00341C95" w:rsidRPr="00341C95" w:rsidTr="002E375A">
      <w:trPr>
        <w:jc w:val="center"/>
      </w:trPr>
      <w:tc>
        <w:tcPr>
          <w:tcW w:w="4621" w:type="dxa"/>
          <w:shd w:val="clear" w:color="auto" w:fill="auto"/>
        </w:tcPr>
        <w:p w:rsidR="00341C95" w:rsidRPr="00341C95" w:rsidRDefault="00341C95" w:rsidP="00341C95">
          <w:pPr>
            <w:pStyle w:val="Footer"/>
            <w:rPr>
              <w:rStyle w:val="LogoportDoNotTranslate"/>
              <w:rFonts w:ascii="Arial" w:hAnsi="Arial" w:cs="Arial"/>
              <w:color w:val="000000" w:themeColor="text1"/>
              <w:sz w:val="16"/>
              <w:szCs w:val="16"/>
            </w:rPr>
          </w:pPr>
          <w:r w:rsidRPr="00341C95">
            <w:rPr>
              <w:rStyle w:val="LogoportDoNotTranslate"/>
              <w:rFonts w:ascii="Arial" w:hAnsi="Arial" w:cs="Arial"/>
              <w:color w:val="000000" w:themeColor="text1"/>
              <w:sz w:val="16"/>
              <w:szCs w:val="16"/>
            </w:rPr>
            <w:t>GovEligibilityDef(EMEA)(</w:t>
          </w:r>
          <w:r w:rsidRPr="00341C95">
            <w:rPr>
              <w:rStyle w:val="LogoportDoNotTranslate"/>
              <w:rFonts w:ascii="Arial" w:hAnsi="Arial" w:cs="Arial"/>
              <w:color w:val="000000" w:themeColor="text1"/>
              <w:sz w:val="16"/>
              <w:szCs w:val="16"/>
              <w:lang w:val="en-US"/>
            </w:rPr>
            <w:t>GRE</w:t>
          </w:r>
          <w:r w:rsidRPr="00341C95">
            <w:rPr>
              <w:rStyle w:val="LogoportDoNotTranslate"/>
              <w:rFonts w:ascii="Arial" w:hAnsi="Arial" w:cs="Arial"/>
              <w:color w:val="000000" w:themeColor="text1"/>
              <w:sz w:val="16"/>
              <w:szCs w:val="16"/>
            </w:rPr>
            <w:t>)(Nov2014)</w:t>
          </w:r>
        </w:p>
      </w:tc>
      <w:tc>
        <w:tcPr>
          <w:tcW w:w="4622" w:type="dxa"/>
          <w:shd w:val="clear" w:color="auto" w:fill="auto"/>
        </w:tcPr>
        <w:p w:rsidR="00341C95" w:rsidRPr="00341C95" w:rsidRDefault="00341C95" w:rsidP="00341C95">
          <w:pPr>
            <w:pStyle w:val="Footer"/>
            <w:jc w:val="right"/>
            <w:rPr>
              <w:rStyle w:val="LogoportDoNotTranslate"/>
              <w:rFonts w:ascii="Arial" w:hAnsi="Arial" w:cs="Arial"/>
              <w:color w:val="000000" w:themeColor="text1"/>
              <w:sz w:val="16"/>
              <w:szCs w:val="16"/>
            </w:rPr>
          </w:pPr>
          <w:r w:rsidRPr="00341C95">
            <w:rPr>
              <w:rStyle w:val="LogoportDoNotTranslate"/>
              <w:rFonts w:ascii="Arial" w:hAnsi="Arial" w:cs="Arial"/>
              <w:color w:val="000000" w:themeColor="text1"/>
              <w:sz w:val="16"/>
              <w:szCs w:val="16"/>
            </w:rPr>
            <w:t xml:space="preserve">Page </w:t>
          </w:r>
          <w:r w:rsidRPr="00341C95">
            <w:rPr>
              <w:rStyle w:val="LogoportDoNotTranslate"/>
              <w:rFonts w:ascii="Arial" w:hAnsi="Arial" w:cs="Arial"/>
              <w:color w:val="000000" w:themeColor="text1"/>
              <w:sz w:val="16"/>
              <w:szCs w:val="16"/>
            </w:rPr>
            <w:fldChar w:fldCharType="begin"/>
          </w:r>
          <w:r w:rsidRPr="00341C95">
            <w:rPr>
              <w:rStyle w:val="LogoportDoNotTranslate"/>
              <w:rFonts w:ascii="Arial" w:hAnsi="Arial" w:cs="Arial"/>
              <w:color w:val="000000" w:themeColor="text1"/>
              <w:sz w:val="16"/>
              <w:szCs w:val="16"/>
            </w:rPr>
            <w:instrText xml:space="preserve"> PAGE  \* MERGEFORMAT </w:instrText>
          </w:r>
          <w:r w:rsidRPr="00341C95">
            <w:rPr>
              <w:rStyle w:val="LogoportDoNotTranslate"/>
              <w:rFonts w:ascii="Arial" w:hAnsi="Arial" w:cs="Arial"/>
              <w:color w:val="000000" w:themeColor="text1"/>
              <w:sz w:val="16"/>
              <w:szCs w:val="16"/>
            </w:rPr>
            <w:fldChar w:fldCharType="separate"/>
          </w:r>
          <w:r w:rsidR="00343834">
            <w:rPr>
              <w:rStyle w:val="LogoportDoNotTranslate"/>
              <w:rFonts w:ascii="Arial" w:hAnsi="Arial" w:cs="Arial"/>
              <w:noProof/>
              <w:color w:val="000000" w:themeColor="text1"/>
              <w:sz w:val="16"/>
              <w:szCs w:val="16"/>
            </w:rPr>
            <w:t>2</w:t>
          </w:r>
          <w:r w:rsidRPr="00341C95">
            <w:rPr>
              <w:rStyle w:val="LogoportDoNotTranslate"/>
              <w:rFonts w:ascii="Arial" w:hAnsi="Arial" w:cs="Arial"/>
              <w:color w:val="000000" w:themeColor="text1"/>
              <w:sz w:val="16"/>
              <w:szCs w:val="16"/>
            </w:rPr>
            <w:fldChar w:fldCharType="end"/>
          </w:r>
          <w:r w:rsidRPr="00341C95">
            <w:rPr>
              <w:rStyle w:val="LogoportDoNotTranslate"/>
              <w:rFonts w:ascii="Arial" w:hAnsi="Arial" w:cs="Arial"/>
              <w:color w:val="000000" w:themeColor="text1"/>
              <w:sz w:val="16"/>
              <w:szCs w:val="16"/>
            </w:rPr>
            <w:t xml:space="preserve"> of </w:t>
          </w:r>
          <w:r w:rsidRPr="00341C95">
            <w:rPr>
              <w:rStyle w:val="LogoportDoNotTranslate"/>
              <w:rFonts w:ascii="Arial" w:hAnsi="Arial" w:cs="Arial"/>
              <w:color w:val="000000" w:themeColor="text1"/>
              <w:sz w:val="16"/>
              <w:szCs w:val="16"/>
            </w:rPr>
            <w:fldChar w:fldCharType="begin"/>
          </w:r>
          <w:r w:rsidRPr="00341C95">
            <w:rPr>
              <w:rStyle w:val="LogoportDoNotTranslate"/>
              <w:rFonts w:ascii="Arial" w:hAnsi="Arial" w:cs="Arial"/>
              <w:color w:val="000000" w:themeColor="text1"/>
              <w:sz w:val="16"/>
              <w:szCs w:val="16"/>
            </w:rPr>
            <w:instrText xml:space="preserve"> NUMPAGES  \* MERGEFORMAT </w:instrText>
          </w:r>
          <w:r w:rsidRPr="00341C95">
            <w:rPr>
              <w:rStyle w:val="LogoportDoNotTranslate"/>
              <w:rFonts w:ascii="Arial" w:hAnsi="Arial" w:cs="Arial"/>
              <w:color w:val="000000" w:themeColor="text1"/>
              <w:sz w:val="16"/>
              <w:szCs w:val="16"/>
            </w:rPr>
            <w:fldChar w:fldCharType="separate"/>
          </w:r>
          <w:r w:rsidR="00343834">
            <w:rPr>
              <w:rStyle w:val="LogoportDoNotTranslate"/>
              <w:rFonts w:ascii="Arial" w:hAnsi="Arial" w:cs="Arial"/>
              <w:noProof/>
              <w:color w:val="000000" w:themeColor="text1"/>
              <w:sz w:val="16"/>
              <w:szCs w:val="16"/>
            </w:rPr>
            <w:t>2</w:t>
          </w:r>
          <w:r w:rsidRPr="00341C95">
            <w:rPr>
              <w:rStyle w:val="LogoportDoNotTranslate"/>
              <w:rFonts w:ascii="Arial" w:hAnsi="Arial" w:cs="Arial"/>
              <w:color w:val="000000" w:themeColor="text1"/>
              <w:sz w:val="16"/>
              <w:szCs w:val="16"/>
            </w:rPr>
            <w:fldChar w:fldCharType="end"/>
          </w:r>
        </w:p>
        <w:p w:rsidR="00341C95" w:rsidRPr="00341C95" w:rsidRDefault="00341C95" w:rsidP="00341C95">
          <w:pPr>
            <w:pStyle w:val="Footer"/>
            <w:jc w:val="right"/>
            <w:rPr>
              <w:rStyle w:val="LogoportDoNotTranslate"/>
              <w:rFonts w:ascii="Arial" w:hAnsi="Arial" w:cs="Arial"/>
              <w:color w:val="000000" w:themeColor="text1"/>
              <w:sz w:val="16"/>
              <w:szCs w:val="16"/>
            </w:rPr>
          </w:pPr>
        </w:p>
      </w:tc>
    </w:tr>
  </w:tbl>
  <w:p w:rsidR="00341C95" w:rsidRPr="00341C95" w:rsidRDefault="00341C95" w:rsidP="00341C95">
    <w:pPr>
      <w:pStyle w:val="Footer"/>
      <w:rPr>
        <w:rStyle w:val="LogoportDoNotTranslate"/>
        <w:rFonts w:ascii="Arial" w:hAnsi="Arial" w:cs="Arial"/>
        <w:color w:val="auto"/>
        <w:sz w:val="16"/>
        <w:szCs w:val="20"/>
      </w:rPr>
    </w:pPr>
  </w:p>
  <w:p w:rsidR="0006204C" w:rsidRPr="00341C95" w:rsidRDefault="0006204C" w:rsidP="00341C95">
    <w:pPr>
      <w:pStyle w:val="Footer"/>
      <w:rPr>
        <w:rStyle w:val="LogoportDoNotTranslate"/>
        <w:rFonts w:ascii="Arial" w:hAnsi="Arial" w:cs="Arial"/>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465"/>
    </w:tblGrid>
    <w:tr w:rsidR="00341C95" w:rsidRPr="00341C95" w:rsidTr="00341C95">
      <w:trPr>
        <w:jc w:val="center"/>
      </w:trPr>
      <w:tc>
        <w:tcPr>
          <w:tcW w:w="4621" w:type="dxa"/>
          <w:shd w:val="clear" w:color="auto" w:fill="auto"/>
        </w:tcPr>
        <w:p w:rsidR="00341C95" w:rsidRPr="00341C95" w:rsidRDefault="00341C95" w:rsidP="00341C95">
          <w:pPr>
            <w:pStyle w:val="Footer"/>
            <w:rPr>
              <w:rStyle w:val="LogoportDoNotTranslate"/>
              <w:rFonts w:ascii="Arial" w:hAnsi="Arial" w:cs="Arial"/>
              <w:color w:val="000000" w:themeColor="text1"/>
              <w:sz w:val="16"/>
              <w:szCs w:val="16"/>
            </w:rPr>
          </w:pPr>
          <w:r w:rsidRPr="00341C95">
            <w:rPr>
              <w:rStyle w:val="LogoportDoNotTranslate"/>
              <w:rFonts w:ascii="Arial" w:hAnsi="Arial" w:cs="Arial"/>
              <w:color w:val="000000" w:themeColor="text1"/>
              <w:sz w:val="16"/>
              <w:szCs w:val="16"/>
            </w:rPr>
            <w:t>GovEligibilityDef(EMEA)(</w:t>
          </w:r>
          <w:r w:rsidRPr="00341C95">
            <w:rPr>
              <w:rStyle w:val="LogoportDoNotTranslate"/>
              <w:rFonts w:ascii="Arial" w:hAnsi="Arial" w:cs="Arial"/>
              <w:color w:val="000000" w:themeColor="text1"/>
              <w:sz w:val="16"/>
              <w:szCs w:val="16"/>
              <w:lang w:val="en-US"/>
            </w:rPr>
            <w:t>GRE</w:t>
          </w:r>
          <w:r w:rsidRPr="00341C95">
            <w:rPr>
              <w:rStyle w:val="LogoportDoNotTranslate"/>
              <w:rFonts w:ascii="Arial" w:hAnsi="Arial" w:cs="Arial"/>
              <w:color w:val="000000" w:themeColor="text1"/>
              <w:sz w:val="16"/>
              <w:szCs w:val="16"/>
            </w:rPr>
            <w:t>)(Nov2014)</w:t>
          </w:r>
        </w:p>
      </w:tc>
      <w:tc>
        <w:tcPr>
          <w:tcW w:w="4622" w:type="dxa"/>
          <w:shd w:val="clear" w:color="auto" w:fill="auto"/>
        </w:tcPr>
        <w:p w:rsidR="00341C95" w:rsidRPr="00341C95" w:rsidRDefault="00341C95" w:rsidP="00341C95">
          <w:pPr>
            <w:pStyle w:val="Footer"/>
            <w:jc w:val="right"/>
            <w:rPr>
              <w:rStyle w:val="LogoportDoNotTranslate"/>
              <w:rFonts w:ascii="Arial" w:hAnsi="Arial" w:cs="Arial"/>
              <w:color w:val="000000" w:themeColor="text1"/>
              <w:sz w:val="16"/>
              <w:szCs w:val="16"/>
            </w:rPr>
          </w:pPr>
          <w:r w:rsidRPr="00341C95">
            <w:rPr>
              <w:rStyle w:val="LogoportDoNotTranslate"/>
              <w:rFonts w:ascii="Arial" w:hAnsi="Arial" w:cs="Arial"/>
              <w:color w:val="000000" w:themeColor="text1"/>
              <w:sz w:val="16"/>
              <w:szCs w:val="16"/>
            </w:rPr>
            <w:t xml:space="preserve">Page </w:t>
          </w:r>
          <w:r w:rsidRPr="00341C95">
            <w:rPr>
              <w:rStyle w:val="LogoportDoNotTranslate"/>
              <w:rFonts w:ascii="Arial" w:hAnsi="Arial" w:cs="Arial"/>
              <w:color w:val="000000" w:themeColor="text1"/>
              <w:sz w:val="16"/>
              <w:szCs w:val="16"/>
            </w:rPr>
            <w:fldChar w:fldCharType="begin"/>
          </w:r>
          <w:r w:rsidRPr="00341C95">
            <w:rPr>
              <w:rStyle w:val="LogoportDoNotTranslate"/>
              <w:rFonts w:ascii="Arial" w:hAnsi="Arial" w:cs="Arial"/>
              <w:color w:val="000000" w:themeColor="text1"/>
              <w:sz w:val="16"/>
              <w:szCs w:val="16"/>
            </w:rPr>
            <w:instrText xml:space="preserve"> PAGE  \* MERGEFORMAT </w:instrText>
          </w:r>
          <w:r w:rsidRPr="00341C95">
            <w:rPr>
              <w:rStyle w:val="LogoportDoNotTranslate"/>
              <w:rFonts w:ascii="Arial" w:hAnsi="Arial" w:cs="Arial"/>
              <w:color w:val="000000" w:themeColor="text1"/>
              <w:sz w:val="16"/>
              <w:szCs w:val="16"/>
            </w:rPr>
            <w:fldChar w:fldCharType="separate"/>
          </w:r>
          <w:r w:rsidR="00343834">
            <w:rPr>
              <w:rStyle w:val="LogoportDoNotTranslate"/>
              <w:rFonts w:ascii="Arial" w:hAnsi="Arial" w:cs="Arial"/>
              <w:noProof/>
              <w:color w:val="000000" w:themeColor="text1"/>
              <w:sz w:val="16"/>
              <w:szCs w:val="16"/>
            </w:rPr>
            <w:t>1</w:t>
          </w:r>
          <w:r w:rsidRPr="00341C95">
            <w:rPr>
              <w:rStyle w:val="LogoportDoNotTranslate"/>
              <w:rFonts w:ascii="Arial" w:hAnsi="Arial" w:cs="Arial"/>
              <w:color w:val="000000" w:themeColor="text1"/>
              <w:sz w:val="16"/>
              <w:szCs w:val="16"/>
            </w:rPr>
            <w:fldChar w:fldCharType="end"/>
          </w:r>
          <w:r w:rsidRPr="00341C95">
            <w:rPr>
              <w:rStyle w:val="LogoportDoNotTranslate"/>
              <w:rFonts w:ascii="Arial" w:hAnsi="Arial" w:cs="Arial"/>
              <w:color w:val="000000" w:themeColor="text1"/>
              <w:sz w:val="16"/>
              <w:szCs w:val="16"/>
            </w:rPr>
            <w:t xml:space="preserve"> of </w:t>
          </w:r>
          <w:r w:rsidRPr="00341C95">
            <w:rPr>
              <w:rStyle w:val="LogoportDoNotTranslate"/>
              <w:rFonts w:ascii="Arial" w:hAnsi="Arial" w:cs="Arial"/>
              <w:color w:val="000000" w:themeColor="text1"/>
              <w:sz w:val="16"/>
              <w:szCs w:val="16"/>
            </w:rPr>
            <w:fldChar w:fldCharType="begin"/>
          </w:r>
          <w:r w:rsidRPr="00341C95">
            <w:rPr>
              <w:rStyle w:val="LogoportDoNotTranslate"/>
              <w:rFonts w:ascii="Arial" w:hAnsi="Arial" w:cs="Arial"/>
              <w:color w:val="000000" w:themeColor="text1"/>
              <w:sz w:val="16"/>
              <w:szCs w:val="16"/>
            </w:rPr>
            <w:instrText xml:space="preserve"> NUMPAGES  \* MERGEFORMAT </w:instrText>
          </w:r>
          <w:r w:rsidRPr="00341C95">
            <w:rPr>
              <w:rStyle w:val="LogoportDoNotTranslate"/>
              <w:rFonts w:ascii="Arial" w:hAnsi="Arial" w:cs="Arial"/>
              <w:color w:val="000000" w:themeColor="text1"/>
              <w:sz w:val="16"/>
              <w:szCs w:val="16"/>
            </w:rPr>
            <w:fldChar w:fldCharType="separate"/>
          </w:r>
          <w:r w:rsidR="00343834">
            <w:rPr>
              <w:rStyle w:val="LogoportDoNotTranslate"/>
              <w:rFonts w:ascii="Arial" w:hAnsi="Arial" w:cs="Arial"/>
              <w:noProof/>
              <w:color w:val="000000" w:themeColor="text1"/>
              <w:sz w:val="16"/>
              <w:szCs w:val="16"/>
            </w:rPr>
            <w:t>2</w:t>
          </w:r>
          <w:r w:rsidRPr="00341C95">
            <w:rPr>
              <w:rStyle w:val="LogoportDoNotTranslate"/>
              <w:rFonts w:ascii="Arial" w:hAnsi="Arial" w:cs="Arial"/>
              <w:color w:val="000000" w:themeColor="text1"/>
              <w:sz w:val="16"/>
              <w:szCs w:val="16"/>
            </w:rPr>
            <w:fldChar w:fldCharType="end"/>
          </w:r>
        </w:p>
        <w:p w:rsidR="00341C95" w:rsidRPr="00341C95" w:rsidRDefault="00341C95" w:rsidP="00341C95">
          <w:pPr>
            <w:pStyle w:val="Footer"/>
            <w:jc w:val="right"/>
            <w:rPr>
              <w:rStyle w:val="LogoportDoNotTranslate"/>
              <w:rFonts w:ascii="Arial" w:hAnsi="Arial" w:cs="Arial"/>
              <w:color w:val="000000" w:themeColor="text1"/>
              <w:sz w:val="16"/>
              <w:szCs w:val="16"/>
            </w:rPr>
          </w:pPr>
        </w:p>
      </w:tc>
    </w:tr>
  </w:tbl>
  <w:p w:rsidR="005D37CF" w:rsidRPr="00341C95" w:rsidRDefault="005D37CF" w:rsidP="00341C95">
    <w:pPr>
      <w:pStyle w:val="Footer"/>
      <w:rPr>
        <w:rStyle w:val="LogoportDoNotTranslate"/>
        <w:rFonts w:ascii="Arial" w:hAnsi="Arial" w:cs="Arial"/>
        <w:color w:val="auto"/>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593" w:rsidRDefault="004D2593" w:rsidP="00CF4E9C">
      <w:pPr>
        <w:spacing w:before="0"/>
      </w:pPr>
      <w:r>
        <w:separator/>
      </w:r>
    </w:p>
  </w:footnote>
  <w:footnote w:type="continuationSeparator" w:id="0">
    <w:p w:rsidR="004D2593" w:rsidRDefault="004D2593"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343834">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343834">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343834"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bidi="ar-SA"/>
      </w:rPr>
      <w:drawing>
        <wp:inline distT="0" distB="0" distL="0" distR="0" wp14:anchorId="06C1E135" wp14:editId="56E964A7">
          <wp:extent cx="5724525" cy="561975"/>
          <wp:effectExtent l="0" t="0" r="0" b="9525"/>
          <wp:docPr id="2" name="Picture 2"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5B06523C"/>
    <w:lvl w:ilvl="0" w:tplc="3A9A909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3749C"/>
    <w:rsid w:val="0006204C"/>
    <w:rsid w:val="000829B7"/>
    <w:rsid w:val="000A6499"/>
    <w:rsid w:val="000E2821"/>
    <w:rsid w:val="001263E5"/>
    <w:rsid w:val="00150765"/>
    <w:rsid w:val="00165890"/>
    <w:rsid w:val="0017783A"/>
    <w:rsid w:val="001857A2"/>
    <w:rsid w:val="001A4EAB"/>
    <w:rsid w:val="002034A1"/>
    <w:rsid w:val="00254540"/>
    <w:rsid w:val="002560D5"/>
    <w:rsid w:val="002B1126"/>
    <w:rsid w:val="002B207D"/>
    <w:rsid w:val="002C7665"/>
    <w:rsid w:val="002D3242"/>
    <w:rsid w:val="002F2434"/>
    <w:rsid w:val="00305443"/>
    <w:rsid w:val="00341C95"/>
    <w:rsid w:val="00343834"/>
    <w:rsid w:val="00361066"/>
    <w:rsid w:val="00380578"/>
    <w:rsid w:val="00387A64"/>
    <w:rsid w:val="003A74D8"/>
    <w:rsid w:val="003B6DC6"/>
    <w:rsid w:val="003E6745"/>
    <w:rsid w:val="0042245E"/>
    <w:rsid w:val="00441753"/>
    <w:rsid w:val="004735D0"/>
    <w:rsid w:val="00493CEC"/>
    <w:rsid w:val="004A701B"/>
    <w:rsid w:val="004B6ADE"/>
    <w:rsid w:val="004D2593"/>
    <w:rsid w:val="005505EF"/>
    <w:rsid w:val="00590119"/>
    <w:rsid w:val="005D37CF"/>
    <w:rsid w:val="005D760D"/>
    <w:rsid w:val="006176DC"/>
    <w:rsid w:val="0064711A"/>
    <w:rsid w:val="006F214E"/>
    <w:rsid w:val="007C13AD"/>
    <w:rsid w:val="007E1AD7"/>
    <w:rsid w:val="007E463F"/>
    <w:rsid w:val="00810E3F"/>
    <w:rsid w:val="00814D01"/>
    <w:rsid w:val="00837C81"/>
    <w:rsid w:val="00845DF2"/>
    <w:rsid w:val="0084628C"/>
    <w:rsid w:val="0084691D"/>
    <w:rsid w:val="00857479"/>
    <w:rsid w:val="00883E16"/>
    <w:rsid w:val="008A327A"/>
    <w:rsid w:val="008D739F"/>
    <w:rsid w:val="00921E07"/>
    <w:rsid w:val="00962F52"/>
    <w:rsid w:val="009641A5"/>
    <w:rsid w:val="00997BA6"/>
    <w:rsid w:val="009B1C45"/>
    <w:rsid w:val="009B4A1E"/>
    <w:rsid w:val="009E4D3C"/>
    <w:rsid w:val="009F2ECC"/>
    <w:rsid w:val="009F6773"/>
    <w:rsid w:val="00A00760"/>
    <w:rsid w:val="00A12728"/>
    <w:rsid w:val="00A561A9"/>
    <w:rsid w:val="00A74B65"/>
    <w:rsid w:val="00AA2506"/>
    <w:rsid w:val="00AA5A57"/>
    <w:rsid w:val="00AF0183"/>
    <w:rsid w:val="00AF2DB2"/>
    <w:rsid w:val="00BB2686"/>
    <w:rsid w:val="00BF7180"/>
    <w:rsid w:val="00C71871"/>
    <w:rsid w:val="00CC305F"/>
    <w:rsid w:val="00CD6F8A"/>
    <w:rsid w:val="00CF4E9C"/>
    <w:rsid w:val="00D164EA"/>
    <w:rsid w:val="00D35AD8"/>
    <w:rsid w:val="00D47475"/>
    <w:rsid w:val="00D760D9"/>
    <w:rsid w:val="00D767E6"/>
    <w:rsid w:val="00DB0E94"/>
    <w:rsid w:val="00DF3240"/>
    <w:rsid w:val="00E02027"/>
    <w:rsid w:val="00E17EAA"/>
    <w:rsid w:val="00E223A5"/>
    <w:rsid w:val="00E24334"/>
    <w:rsid w:val="00E74F51"/>
    <w:rsid w:val="00E81596"/>
    <w:rsid w:val="00EE1A7E"/>
    <w:rsid w:val="00F072EE"/>
    <w:rsid w:val="00F24527"/>
    <w:rsid w:val="00F26F97"/>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9B99AA80-0516-41B9-B3FF-FB7E664BD22F}"/>
  <w:documentProtection w:edit="forms" w:enforcement="true" w:cryptProviderType="rsaFull" w:cryptAlgorithmClass="hash" w:cryptAlgorithmType="typeAny" w:cryptAlgorithmSid="4" w:cryptSpinCount="50000" w:hash="GGfxSmLZkfieSAARZibyQcI2VMI=" w:salt="r5US031dWGCFBwgVshBVy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l-GR" w:eastAsia="el-GR" w:bidi="el-GR"/>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46</cp:revision>
  <cp:lastPrinted>2014-09-29T17:16:00Z</cp:lastPrinted>
  <dcterms:created xsi:type="dcterms:W3CDTF">2014-09-05T03:56:00Z</dcterms:created>
  <dcterms:modified xsi:type="dcterms:W3CDTF">2014-10-07T18:27:00Z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