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86" w:rsidRPr="005F0E74" w:rsidRDefault="00CF4E9C" w:rsidP="00BB2686">
      <w:pPr>
        <w:spacing w:before="240"/>
        <w:jc w:val="left"/>
        <w:rPr>
          <w:sz w:val="36"/>
          <w:szCs w:val="36"/>
        </w:rPr>
        <w:sectPr w:rsidR="00BB2686" w:rsidRPr="005F0E74"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sidRPr="005F0E74">
        <w:rPr>
          <w:sz w:val="36"/>
          <w:szCs w:val="36"/>
        </w:rPr>
        <w:t>Microsoft Kormányzati Jogosultsági Definíció (EMEA)</w:t>
      </w:r>
    </w:p>
    <w:p w:rsidR="00CF4E9C" w:rsidRPr="005F0E74" w:rsidRDefault="002B1126" w:rsidP="00883E16">
      <w:pPr>
        <w:spacing w:before="360" w:after="120"/>
      </w:pPr>
      <w:r w:rsidRPr="005F0E74">
        <w:lastRenderedPageBreak/>
        <w:t>Az alábbiakban meghatározott, illetve körülírt kategóriákba tartozó vagy feltételeknek eleget tevő közszférában működő szervezetek jogosultak részt venni a Microsoft kifejezetten a kormányzat számára kialakított mennyiségi licencprogram</w:t>
      </w:r>
      <w:r w:rsidR="00A978E3" w:rsidRPr="005F0E74">
        <w:t>jaiban („jogosult jogalanyok”).</w:t>
      </w:r>
      <w:r w:rsidRPr="005F0E74">
        <w:t xml:space="preserve"> „Jogosult jogalany” minden olyan szervezet, amely nem haszonszerzés érdekében folytatja tevékenységét, és az alábbi kate</w:t>
      </w:r>
      <w:r w:rsidR="00A978E3" w:rsidRPr="005F0E74">
        <w:t xml:space="preserve">góriák valamelyikébe tartozik: </w:t>
      </w:r>
    </w:p>
    <w:tbl>
      <w:tblPr>
        <w:tblStyle w:val="TableGrid"/>
        <w:tblW w:w="9029" w:type="dxa"/>
        <w:jc w:val="center"/>
        <w:tblLook w:val="04A0" w:firstRow="1" w:lastRow="0" w:firstColumn="1" w:lastColumn="0" w:noHBand="0" w:noVBand="1"/>
      </w:tblPr>
      <w:tblGrid>
        <w:gridCol w:w="2341"/>
        <w:gridCol w:w="6688"/>
      </w:tblGrid>
      <w:tr w:rsidR="00CF4E9C" w:rsidRPr="005F0E74" w:rsidTr="00165890">
        <w:trPr>
          <w:cantSplit/>
          <w:tblHeader/>
          <w:jc w:val="center"/>
        </w:trPr>
        <w:tc>
          <w:tcPr>
            <w:tcW w:w="9029" w:type="dxa"/>
            <w:gridSpan w:val="2"/>
            <w:shd w:val="clear" w:color="auto" w:fill="000000" w:themeFill="text1"/>
          </w:tcPr>
          <w:p w:rsidR="00CF4E9C" w:rsidRPr="005F0E74" w:rsidRDefault="00CF4E9C" w:rsidP="00883E16">
            <w:pPr>
              <w:keepNext/>
              <w:spacing w:before="120" w:after="120"/>
              <w:rPr>
                <w:b/>
                <w:bCs/>
                <w:color w:val="FFFFFF" w:themeColor="background1"/>
              </w:rPr>
            </w:pPr>
            <w:r w:rsidRPr="005F0E74">
              <w:rPr>
                <w:b/>
                <w:bCs/>
                <w:color w:val="FFFFFF" w:themeColor="background1"/>
              </w:rPr>
              <w:t>Kategóriák</w:t>
            </w:r>
          </w:p>
        </w:tc>
      </w:tr>
      <w:tr w:rsidR="00CF4E9C" w:rsidRPr="005F0E74" w:rsidTr="00B31603">
        <w:trPr>
          <w:cantSplit/>
          <w:tblHeader/>
          <w:jc w:val="center"/>
        </w:trPr>
        <w:tc>
          <w:tcPr>
            <w:tcW w:w="2341" w:type="dxa"/>
            <w:vAlign w:val="center"/>
          </w:tcPr>
          <w:p w:rsidR="00CF4E9C" w:rsidRPr="005F0E74" w:rsidRDefault="00CF4E9C" w:rsidP="00883E16">
            <w:pPr>
              <w:spacing w:before="120" w:after="120"/>
              <w:jc w:val="left"/>
              <w:rPr>
                <w:b/>
                <w:bCs/>
              </w:rPr>
            </w:pPr>
            <w:r w:rsidRPr="005F0E74">
              <w:rPr>
                <w:b/>
                <w:bCs/>
              </w:rPr>
              <w:t>A. Szupernacionális</w:t>
            </w:r>
          </w:p>
        </w:tc>
        <w:tc>
          <w:tcPr>
            <w:tcW w:w="6688" w:type="dxa"/>
            <w:vAlign w:val="center"/>
          </w:tcPr>
          <w:p w:rsidR="00CF4E9C" w:rsidRPr="005F0E74" w:rsidRDefault="00CF4E9C" w:rsidP="00883E16">
            <w:pPr>
              <w:spacing w:before="120" w:after="120"/>
            </w:pPr>
            <w:r w:rsidRPr="005F0E74">
              <w:t>Minden olyan szervezet/intézmény, amely több nemzeti kormányzatot érintő tényleges felügyeleti vagy jogalkotási feladatkörrel rendelkezik.</w:t>
            </w:r>
          </w:p>
        </w:tc>
      </w:tr>
      <w:tr w:rsidR="00CF4E9C" w:rsidRPr="005F0E74" w:rsidTr="00B31603">
        <w:trPr>
          <w:cantSplit/>
          <w:tblHeader/>
          <w:jc w:val="center"/>
        </w:trPr>
        <w:tc>
          <w:tcPr>
            <w:tcW w:w="2341" w:type="dxa"/>
            <w:vAlign w:val="center"/>
          </w:tcPr>
          <w:p w:rsidR="00CF4E9C" w:rsidRPr="005F0E74" w:rsidRDefault="00CF4E9C" w:rsidP="00883E16">
            <w:pPr>
              <w:spacing w:before="120" w:after="120"/>
              <w:jc w:val="left"/>
              <w:rPr>
                <w:b/>
                <w:bCs/>
              </w:rPr>
            </w:pPr>
            <w:r w:rsidRPr="005F0E74">
              <w:rPr>
                <w:b/>
                <w:bCs/>
              </w:rPr>
              <w:t>B. Nemzeti/Szövetségi</w:t>
            </w:r>
          </w:p>
        </w:tc>
        <w:tc>
          <w:tcPr>
            <w:tcW w:w="6688" w:type="dxa"/>
            <w:vAlign w:val="center"/>
          </w:tcPr>
          <w:p w:rsidR="00CF4E9C" w:rsidRPr="005F0E74" w:rsidRDefault="00CF4E9C" w:rsidP="00883E16">
            <w:pPr>
              <w:spacing w:before="120" w:after="120"/>
            </w:pPr>
            <w:r w:rsidRPr="005F0E74">
              <w:t>Minden olyan kormányzati szervezet/intézmény, amelyet szövetségi/nemzeti szinten irányítanak, és amelynek hatásköre egy adott á</w:t>
            </w:r>
            <w:r w:rsidR="00A978E3" w:rsidRPr="005F0E74">
              <w:t>llamra vagy országra terjed ki.</w:t>
            </w:r>
            <w:r w:rsidRPr="005F0E74">
              <w:t xml:space="preserve"> Ide tartoznak mindazok az országgyűlési és bírósági szervek, amelyeknek hatalmukban áll jogot alkotni és alkalmazni.</w:t>
            </w:r>
          </w:p>
        </w:tc>
      </w:tr>
      <w:tr w:rsidR="00CF4E9C" w:rsidRPr="005F0E74" w:rsidTr="00B31603">
        <w:trPr>
          <w:cantSplit/>
          <w:tblHeader/>
          <w:jc w:val="center"/>
        </w:trPr>
        <w:tc>
          <w:tcPr>
            <w:tcW w:w="2341" w:type="dxa"/>
            <w:vAlign w:val="center"/>
          </w:tcPr>
          <w:p w:rsidR="00CF4E9C" w:rsidRPr="005F0E74" w:rsidRDefault="00CF4E9C" w:rsidP="00A978E3">
            <w:pPr>
              <w:spacing w:before="120" w:after="120"/>
              <w:jc w:val="left"/>
              <w:rPr>
                <w:b/>
                <w:bCs/>
              </w:rPr>
            </w:pPr>
            <w:r w:rsidRPr="005F0E74">
              <w:rPr>
                <w:b/>
                <w:bCs/>
              </w:rPr>
              <w:t>C. Regionális/Állami/</w:t>
            </w:r>
            <w:r w:rsidR="00B31603" w:rsidRPr="005F0E74">
              <w:rPr>
                <w:b/>
                <w:bCs/>
              </w:rPr>
              <w:br/>
            </w:r>
            <w:r w:rsidRPr="005F0E74">
              <w:rPr>
                <w:b/>
                <w:bCs/>
              </w:rPr>
              <w:t>Megyei</w:t>
            </w:r>
          </w:p>
        </w:tc>
        <w:tc>
          <w:tcPr>
            <w:tcW w:w="6688" w:type="dxa"/>
            <w:vAlign w:val="center"/>
          </w:tcPr>
          <w:p w:rsidR="00CF4E9C" w:rsidRPr="005F0E74" w:rsidRDefault="00CF4E9C" w:rsidP="00883E16">
            <w:pPr>
              <w:spacing w:before="120" w:after="120"/>
            </w:pPr>
            <w:r w:rsidRPr="005F0E74">
              <w:t>A Kormányzat középszintű szervezeti egysége, amelynek hatásköre nem terjed ki egy adott ország egész területére, de illetékességi területén belül számos helyi önkormányzatra kiterjedő jogkörrel rendelkezik. Ide tartozik (1) minden olyan kormányzati szervezet/intézmény, amelyet állami/regionális szinten irányítanak, ezek megnevezése többféle lehet: régió, térség, département, állam, lander, megye, tartomány; valamint (2) minden olyan hivatal, parlamenti testület, szabályozó hatóság és bírói testület, amelynek hatáskörébe tartozik az adott régió, térség, département, állam, lander, megye vagy tartomány törvényeinek meghatározása vagy azokra vonatkozó döntéshozatal.</w:t>
            </w:r>
          </w:p>
        </w:tc>
      </w:tr>
      <w:tr w:rsidR="00CF4E9C" w:rsidRPr="005F0E74" w:rsidTr="00B31603">
        <w:trPr>
          <w:cantSplit/>
          <w:tblHeader/>
          <w:jc w:val="center"/>
        </w:trPr>
        <w:tc>
          <w:tcPr>
            <w:tcW w:w="2341" w:type="dxa"/>
            <w:vAlign w:val="center"/>
          </w:tcPr>
          <w:p w:rsidR="00CF4E9C" w:rsidRPr="005F0E74" w:rsidRDefault="00CF4E9C" w:rsidP="00883E16">
            <w:pPr>
              <w:spacing w:before="120" w:after="120"/>
              <w:jc w:val="left"/>
              <w:rPr>
                <w:b/>
                <w:bCs/>
              </w:rPr>
            </w:pPr>
            <w:r w:rsidRPr="005F0E74">
              <w:rPr>
                <w:b/>
                <w:bCs/>
              </w:rPr>
              <w:t>D. Helyi/Városi</w:t>
            </w:r>
          </w:p>
        </w:tc>
        <w:tc>
          <w:tcPr>
            <w:tcW w:w="6688" w:type="dxa"/>
            <w:vAlign w:val="center"/>
          </w:tcPr>
          <w:p w:rsidR="00CF4E9C" w:rsidRPr="005F0E74" w:rsidRDefault="00CF4E9C" w:rsidP="00883E16">
            <w:pPr>
              <w:spacing w:before="120" w:after="120"/>
            </w:pPr>
            <w:r w:rsidRPr="005F0E74">
              <w:t>A kormányzat és a kapcsolódó közigazgatás legalacsonyabb szintje. Ide tartozik az összes kormányzati szervezet/intézmény, amelynek irányítása város, kerület, település, járás, különleges célú körzet, falu, kerület, közösség vagy körzet szintjén történik (pl. közterületek, szemétgyűjtés, tűzoltás, helyi szolgáltatások irányítása, valamint egyes országos szolgáltatások megvalósítása).</w:t>
            </w:r>
          </w:p>
        </w:tc>
      </w:tr>
      <w:tr w:rsidR="00CF4E9C" w:rsidRPr="005F0E74" w:rsidTr="00B31603">
        <w:trPr>
          <w:cantSplit/>
          <w:tblHeader/>
          <w:jc w:val="center"/>
        </w:trPr>
        <w:tc>
          <w:tcPr>
            <w:tcW w:w="2341" w:type="dxa"/>
            <w:vAlign w:val="center"/>
          </w:tcPr>
          <w:p w:rsidR="00CF4E9C" w:rsidRPr="005F0E74" w:rsidRDefault="00CF4E9C" w:rsidP="00883E16">
            <w:pPr>
              <w:spacing w:before="120" w:after="120"/>
              <w:jc w:val="left"/>
              <w:rPr>
                <w:b/>
                <w:bCs/>
              </w:rPr>
            </w:pPr>
            <w:r w:rsidRPr="005F0E74">
              <w:rPr>
                <w:b/>
                <w:bCs/>
              </w:rPr>
              <w:t>E. Egészségügy</w:t>
            </w:r>
          </w:p>
        </w:tc>
        <w:tc>
          <w:tcPr>
            <w:tcW w:w="6688" w:type="dxa"/>
            <w:vAlign w:val="center"/>
          </w:tcPr>
          <w:p w:rsidR="00CF4E9C" w:rsidRPr="005F0E74" w:rsidRDefault="00CF4E9C" w:rsidP="00883E16">
            <w:pPr>
              <w:spacing w:before="120" w:after="120"/>
            </w:pPr>
            <w:r w:rsidRPr="005F0E74">
              <w:t>Bármely olyan kormányzati szervezet/intézmény, amely egészségügyi szolgáltatásokat és ellátást biztosít egy államban vagy országban, egészségügyi szolgáltatások és ellátás finanszírozását biztosítja, vagy szabályozói szerepet lát el az egészségügyben.</w:t>
            </w:r>
          </w:p>
        </w:tc>
      </w:tr>
      <w:tr w:rsidR="00CF4E9C" w:rsidRPr="005F0E74" w:rsidTr="00B31603">
        <w:trPr>
          <w:cantSplit/>
          <w:tblHeader/>
          <w:jc w:val="center"/>
        </w:trPr>
        <w:tc>
          <w:tcPr>
            <w:tcW w:w="2341" w:type="dxa"/>
            <w:vAlign w:val="center"/>
          </w:tcPr>
          <w:p w:rsidR="00CF4E9C" w:rsidRPr="005F0E74" w:rsidRDefault="00CF4E9C" w:rsidP="00883E16">
            <w:pPr>
              <w:spacing w:before="120" w:after="120"/>
              <w:jc w:val="left"/>
              <w:rPr>
                <w:b/>
                <w:bCs/>
              </w:rPr>
            </w:pPr>
            <w:r w:rsidRPr="005F0E74">
              <w:rPr>
                <w:b/>
                <w:bCs/>
              </w:rPr>
              <w:t>F. Egyéb Kormányzati Intézmények</w:t>
            </w:r>
          </w:p>
        </w:tc>
        <w:tc>
          <w:tcPr>
            <w:tcW w:w="6688" w:type="dxa"/>
            <w:vAlign w:val="center"/>
          </w:tcPr>
          <w:p w:rsidR="00CF4E9C" w:rsidRPr="005F0E74" w:rsidRDefault="00CF4E9C" w:rsidP="00883E16">
            <w:pPr>
              <w:spacing w:before="120" w:after="120"/>
            </w:pPr>
            <w:r w:rsidRPr="005F0E74">
              <w:t>Bármely intézmény, amely kizárólagos felelősséggel egy nemzetközileg elismert Nemzeti Kormánynak tartozik, és végső fokon annak irányítása alatt áll.</w:t>
            </w:r>
          </w:p>
          <w:p w:rsidR="00AA5A57" w:rsidRPr="005F0E74" w:rsidRDefault="00AA5A57" w:rsidP="00883E16">
            <w:pPr>
              <w:spacing w:after="120"/>
            </w:pPr>
            <w:r w:rsidRPr="005F0E74">
              <w:t xml:space="preserve">Bármely intézmény, amelyet a vonatkozó létesítő jogszabályban vagy okiratban meghatározott közcél ellátására hoztak létre (pl. köztestületek, helyi önkormányzati testületek, kormányzati kutatószervezetek). </w:t>
            </w:r>
          </w:p>
        </w:tc>
      </w:tr>
    </w:tbl>
    <w:p w:rsidR="00CF4E9C" w:rsidRPr="005F0E74" w:rsidRDefault="00CF4E9C" w:rsidP="00883E16">
      <w:r w:rsidRPr="005F0E74">
        <w:t>Amennyiben egy intézmény a fenti kategóriák valamelyikébe illik, azonban nyereségorientált működésű, a következő további feltételek határozzák meg, hogy jogosult jogalanynak tekinthető-e:</w:t>
      </w:r>
    </w:p>
    <w:p w:rsidR="00CF4E9C" w:rsidRPr="005F0E74" w:rsidRDefault="00CF4E9C" w:rsidP="00883E16">
      <w:pPr>
        <w:pStyle w:val="ListParagraph"/>
        <w:numPr>
          <w:ilvl w:val="0"/>
          <w:numId w:val="1"/>
        </w:numPr>
        <w:ind w:left="1080"/>
        <w:contextualSpacing w:val="0"/>
      </w:pPr>
      <w:r w:rsidRPr="005F0E74">
        <w:t>A bevételben/nyereségben kizárólag a kormány részesül (vagy magántulajdonosok is)?</w:t>
      </w:r>
    </w:p>
    <w:p w:rsidR="00CF4E9C" w:rsidRPr="005F0E74" w:rsidRDefault="00CF4E9C" w:rsidP="00883E16">
      <w:pPr>
        <w:pStyle w:val="ListParagraph"/>
        <w:numPr>
          <w:ilvl w:val="0"/>
          <w:numId w:val="1"/>
        </w:numPr>
        <w:ind w:left="1080"/>
        <w:contextualSpacing w:val="0"/>
      </w:pPr>
      <w:r w:rsidRPr="005F0E74">
        <w:t>Az intézmény mentes a társasági adó alól?</w:t>
      </w:r>
    </w:p>
    <w:p w:rsidR="00CF4E9C" w:rsidRPr="005F0E74" w:rsidRDefault="00CF4E9C" w:rsidP="00883E16">
      <w:pPr>
        <w:pStyle w:val="ListParagraph"/>
        <w:numPr>
          <w:ilvl w:val="0"/>
          <w:numId w:val="1"/>
        </w:numPr>
        <w:ind w:left="1080"/>
        <w:contextualSpacing w:val="0"/>
      </w:pPr>
      <w:r w:rsidRPr="005F0E74">
        <w:lastRenderedPageBreak/>
        <w:t>Az intézményt a kormány 50%-ot meghaladó mértékben finanszírozza (azaz finanszírozásának kevesebb mint 50%-a származik kereskedelmi jellegű tevékenységből)?</w:t>
      </w:r>
    </w:p>
    <w:p w:rsidR="00CF4E9C" w:rsidRPr="005F0E74" w:rsidRDefault="00CF4E9C" w:rsidP="00883E16">
      <w:r w:rsidRPr="005F0E74">
        <w:t>Amennyiben a fenti kérdések mindegyikére „igen” a válasz, az intézmény jogosult jogalanynak minősül. Amennyiben a fenti kérdések bármelyikére „nem” a válasz, az intézmény nem minősül jogosult jogalanynak. Általában a kereskedelmi tevékenységet (pl. távközlés, banki szolgáltatások, közlekedés stb.) végző kormányzati tulajdonú társaságok, állami tulajdonú vállalatok és kormányzati tulajdonú intézmények (a bejegyzési formától függetlenül) nem minősülnek jogos</w:t>
      </w:r>
      <w:r w:rsidR="005F0E74">
        <w:t>ult jogalanynak.</w:t>
      </w:r>
    </w:p>
    <w:p w:rsidR="00CF4E9C" w:rsidRPr="005F0E74" w:rsidRDefault="00CF4E9C" w:rsidP="00883E16">
      <w:r w:rsidRPr="005F0E74">
        <w:t>Amennyiben egy ország Kormánya közzéteszi a közszférához tartozó intézmények jegyzékét, az</w:t>
      </w:r>
      <w:r w:rsidR="005F0E74">
        <w:t> </w:t>
      </w:r>
      <w:r w:rsidRPr="005F0E74">
        <w:t>ilyen intézményeknek teljesíteniük kell a jelen definícióban foglalt feltételeket ahhoz, hogy jogosu</w:t>
      </w:r>
      <w:r w:rsidR="005F0E74">
        <w:t>lt jogalanynak minősülhessenek.</w:t>
      </w:r>
    </w:p>
    <w:p w:rsidR="00E24334" w:rsidRPr="005F0E74" w:rsidRDefault="00E24334" w:rsidP="00883E16">
      <w:r w:rsidRPr="005F0E74">
        <w:t>Ha egy szervezet egy licencszerződés aláírását követően elveszíti „jogosult kormányzati intézmény” státuszát, akkor a szervezet továbbhasználhatja azokat a példányokat, amelyekhez licenccel rendelkezik, de a szervezet a Microsoft Kormányzati Licencprogramok keretében nem nyújthat be Licenc</w:t>
      </w:r>
      <w:r w:rsidR="005F0E74">
        <w:t>ekre vonatkozó új megrendelést.</w:t>
      </w:r>
    </w:p>
    <w:p w:rsidR="00F9352D" w:rsidRPr="005F0E74" w:rsidRDefault="00A561A9" w:rsidP="000A6499">
      <w:bookmarkStart w:id="1" w:name="OLE_LINK1"/>
      <w:bookmarkStart w:id="2" w:name="OLE_LINK2"/>
      <w:r w:rsidRPr="005F0E74">
        <w:t>A Microsoft kormányzati árképzést kínál az erre jogosult (fentebb definiált és leírt) állami sz</w:t>
      </w:r>
      <w:r w:rsidR="00A978E3" w:rsidRPr="005F0E74">
        <w:t>ektorba tartozó szervezeteknek.</w:t>
      </w:r>
      <w:r w:rsidRPr="005F0E74">
        <w:t xml:space="preserve"> Az ilyen, esetleg konkrét mennyiségi licencszerződésben megfogalmazott további jogosultsági követelmények a jogosult szervezetet feljogosítják (1) a Nagyvállalati, a</w:t>
      </w:r>
      <w:r w:rsidR="00A978E3" w:rsidRPr="005F0E74">
        <w:t> </w:t>
      </w:r>
      <w:r w:rsidRPr="005F0E74">
        <w:t>Nagyvállalati Előfizetői, a Select, illetve a Select Plus mennyiségi licencprogram „D” árszintjére vagy (2) olyan más engedményekre, amelyek a Microsoft egyéb mennyiségi licencprogramjai keretében érhetőek el.</w:t>
      </w:r>
      <w:bookmarkEnd w:id="1"/>
      <w:bookmarkEnd w:id="2"/>
    </w:p>
    <w:sectPr w:rsidR="00F9352D" w:rsidRPr="005F0E74"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84E" w:rsidRDefault="003E584E" w:rsidP="00CF4E9C">
      <w:pPr>
        <w:spacing w:before="0"/>
      </w:pPr>
      <w:r>
        <w:separator/>
      </w:r>
    </w:p>
  </w:endnote>
  <w:endnote w:type="continuationSeparator" w:id="0">
    <w:p w:rsidR="003E584E" w:rsidRDefault="003E584E"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65D" w:rsidRDefault="00C146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465"/>
    </w:tblGrid>
    <w:tr w:rsidR="00C1465D" w:rsidRPr="00C1465D" w:rsidTr="00F3574A">
      <w:trPr>
        <w:jc w:val="center"/>
      </w:trPr>
      <w:tc>
        <w:tcPr>
          <w:tcW w:w="4621" w:type="dxa"/>
          <w:shd w:val="clear" w:color="auto" w:fill="auto"/>
        </w:tcPr>
        <w:p w:rsidR="00C1465D" w:rsidRPr="00C1465D" w:rsidRDefault="00C1465D" w:rsidP="00C1465D">
          <w:pPr>
            <w:pStyle w:val="Footer"/>
            <w:rPr>
              <w:rStyle w:val="LogoportDoNotTranslate"/>
              <w:rFonts w:ascii="Arial" w:hAnsi="Arial" w:cs="Arial"/>
              <w:color w:val="000000" w:themeColor="text1"/>
              <w:sz w:val="16"/>
              <w:szCs w:val="16"/>
            </w:rPr>
          </w:pPr>
          <w:r w:rsidRPr="00C1465D">
            <w:rPr>
              <w:rStyle w:val="LogoportDoNotTranslate"/>
              <w:rFonts w:ascii="Arial" w:hAnsi="Arial" w:cs="Arial"/>
              <w:color w:val="000000" w:themeColor="text1"/>
              <w:sz w:val="16"/>
              <w:szCs w:val="16"/>
            </w:rPr>
            <w:t>GovEligibilityDef(EMEA)(HUN)(Nov2014)</w:t>
          </w:r>
        </w:p>
      </w:tc>
      <w:tc>
        <w:tcPr>
          <w:tcW w:w="4622" w:type="dxa"/>
          <w:shd w:val="clear" w:color="auto" w:fill="auto"/>
        </w:tcPr>
        <w:p w:rsidR="00C1465D" w:rsidRPr="00C1465D" w:rsidRDefault="00C1465D" w:rsidP="00C1465D">
          <w:pPr>
            <w:pStyle w:val="Footer"/>
            <w:jc w:val="right"/>
            <w:rPr>
              <w:rStyle w:val="LogoportDoNotTranslate"/>
              <w:rFonts w:ascii="Arial" w:hAnsi="Arial" w:cs="Arial"/>
              <w:color w:val="000000" w:themeColor="text1"/>
              <w:sz w:val="16"/>
              <w:szCs w:val="16"/>
            </w:rPr>
          </w:pPr>
          <w:r w:rsidRPr="00C1465D">
            <w:rPr>
              <w:rStyle w:val="LogoportDoNotTranslate"/>
              <w:rFonts w:ascii="Arial" w:hAnsi="Arial" w:cs="Arial"/>
              <w:color w:val="000000" w:themeColor="text1"/>
              <w:sz w:val="16"/>
              <w:szCs w:val="16"/>
            </w:rPr>
            <w:t xml:space="preserve">Page </w:t>
          </w:r>
          <w:r w:rsidRPr="00C1465D">
            <w:rPr>
              <w:rStyle w:val="LogoportDoNotTranslate"/>
              <w:rFonts w:ascii="Arial" w:hAnsi="Arial" w:cs="Arial"/>
              <w:color w:val="000000" w:themeColor="text1"/>
              <w:sz w:val="16"/>
              <w:szCs w:val="16"/>
            </w:rPr>
            <w:fldChar w:fldCharType="begin"/>
          </w:r>
          <w:r w:rsidRPr="00C1465D">
            <w:rPr>
              <w:rStyle w:val="LogoportDoNotTranslate"/>
              <w:rFonts w:ascii="Arial" w:hAnsi="Arial" w:cs="Arial"/>
              <w:color w:val="000000" w:themeColor="text1"/>
              <w:sz w:val="16"/>
              <w:szCs w:val="16"/>
            </w:rPr>
            <w:instrText xml:space="preserve"> PAGE  \* MERGEFORMAT </w:instrText>
          </w:r>
          <w:r w:rsidRPr="00C1465D">
            <w:rPr>
              <w:rStyle w:val="LogoportDoNotTranslate"/>
              <w:rFonts w:ascii="Arial" w:hAnsi="Arial" w:cs="Arial"/>
              <w:color w:val="000000" w:themeColor="text1"/>
              <w:sz w:val="16"/>
              <w:szCs w:val="16"/>
            </w:rPr>
            <w:fldChar w:fldCharType="separate"/>
          </w:r>
          <w:r w:rsidR="00DD7CD6">
            <w:rPr>
              <w:rStyle w:val="LogoportDoNotTranslate"/>
              <w:rFonts w:ascii="Arial" w:hAnsi="Arial" w:cs="Arial"/>
              <w:noProof/>
              <w:color w:val="000000" w:themeColor="text1"/>
              <w:sz w:val="16"/>
              <w:szCs w:val="16"/>
            </w:rPr>
            <w:t>2</w:t>
          </w:r>
          <w:r w:rsidRPr="00C1465D">
            <w:rPr>
              <w:rStyle w:val="LogoportDoNotTranslate"/>
              <w:rFonts w:ascii="Arial" w:hAnsi="Arial" w:cs="Arial"/>
              <w:color w:val="000000" w:themeColor="text1"/>
              <w:sz w:val="16"/>
              <w:szCs w:val="16"/>
            </w:rPr>
            <w:fldChar w:fldCharType="end"/>
          </w:r>
          <w:r w:rsidRPr="00C1465D">
            <w:rPr>
              <w:rStyle w:val="LogoportDoNotTranslate"/>
              <w:rFonts w:ascii="Arial" w:hAnsi="Arial" w:cs="Arial"/>
              <w:color w:val="000000" w:themeColor="text1"/>
              <w:sz w:val="16"/>
              <w:szCs w:val="16"/>
            </w:rPr>
            <w:t xml:space="preserve"> of </w:t>
          </w:r>
          <w:r w:rsidRPr="00C1465D">
            <w:rPr>
              <w:rStyle w:val="LogoportDoNotTranslate"/>
              <w:rFonts w:ascii="Arial" w:hAnsi="Arial" w:cs="Arial"/>
              <w:color w:val="000000" w:themeColor="text1"/>
              <w:sz w:val="16"/>
              <w:szCs w:val="16"/>
            </w:rPr>
            <w:fldChar w:fldCharType="begin"/>
          </w:r>
          <w:r w:rsidRPr="00C1465D">
            <w:rPr>
              <w:rStyle w:val="LogoportDoNotTranslate"/>
              <w:rFonts w:ascii="Arial" w:hAnsi="Arial" w:cs="Arial"/>
              <w:color w:val="000000" w:themeColor="text1"/>
              <w:sz w:val="16"/>
              <w:szCs w:val="16"/>
            </w:rPr>
            <w:instrText xml:space="preserve"> NUMPAGES  \* MERGEFORMAT </w:instrText>
          </w:r>
          <w:r w:rsidRPr="00C1465D">
            <w:rPr>
              <w:rStyle w:val="LogoportDoNotTranslate"/>
              <w:rFonts w:ascii="Arial" w:hAnsi="Arial" w:cs="Arial"/>
              <w:color w:val="000000" w:themeColor="text1"/>
              <w:sz w:val="16"/>
              <w:szCs w:val="16"/>
            </w:rPr>
            <w:fldChar w:fldCharType="separate"/>
          </w:r>
          <w:r w:rsidR="00DD7CD6">
            <w:rPr>
              <w:rStyle w:val="LogoportDoNotTranslate"/>
              <w:rFonts w:ascii="Arial" w:hAnsi="Arial" w:cs="Arial"/>
              <w:noProof/>
              <w:color w:val="000000" w:themeColor="text1"/>
              <w:sz w:val="16"/>
              <w:szCs w:val="16"/>
            </w:rPr>
            <w:t>2</w:t>
          </w:r>
          <w:r w:rsidRPr="00C1465D">
            <w:rPr>
              <w:rStyle w:val="LogoportDoNotTranslate"/>
              <w:rFonts w:ascii="Arial" w:hAnsi="Arial" w:cs="Arial"/>
              <w:color w:val="000000" w:themeColor="text1"/>
              <w:sz w:val="16"/>
              <w:szCs w:val="16"/>
            </w:rPr>
            <w:fldChar w:fldCharType="end"/>
          </w:r>
        </w:p>
        <w:p w:rsidR="00C1465D" w:rsidRPr="00C1465D" w:rsidRDefault="00C1465D" w:rsidP="00C1465D">
          <w:pPr>
            <w:pStyle w:val="Footer"/>
            <w:jc w:val="right"/>
            <w:rPr>
              <w:rStyle w:val="LogoportDoNotTranslate"/>
              <w:rFonts w:ascii="Arial" w:hAnsi="Arial" w:cs="Arial"/>
              <w:color w:val="000000" w:themeColor="text1"/>
              <w:sz w:val="16"/>
              <w:szCs w:val="16"/>
            </w:rPr>
          </w:pPr>
        </w:p>
      </w:tc>
    </w:tr>
  </w:tbl>
  <w:p w:rsidR="00C1465D" w:rsidRPr="00C1465D" w:rsidRDefault="00C1465D" w:rsidP="00C1465D">
    <w:pPr>
      <w:pStyle w:val="Footer"/>
      <w:rPr>
        <w:rStyle w:val="LogoportDoNotTranslate"/>
        <w:rFonts w:ascii="Arial" w:hAnsi="Arial" w:cs="Arial"/>
        <w:color w:val="auto"/>
        <w:sz w:val="16"/>
        <w:szCs w:val="20"/>
      </w:rPr>
    </w:pPr>
  </w:p>
  <w:p w:rsidR="0006204C" w:rsidRPr="00C1465D" w:rsidRDefault="0006204C" w:rsidP="00C1465D">
    <w:pPr>
      <w:pStyle w:val="Footer"/>
      <w:rPr>
        <w:rStyle w:val="LogoportDoNotTranslate"/>
        <w:rFonts w:ascii="Arial" w:hAnsi="Arial" w:cs="Arial"/>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465"/>
    </w:tblGrid>
    <w:tr w:rsidR="00C1465D" w:rsidRPr="00C1465D" w:rsidTr="00C1465D">
      <w:trPr>
        <w:jc w:val="center"/>
      </w:trPr>
      <w:tc>
        <w:tcPr>
          <w:tcW w:w="4621" w:type="dxa"/>
          <w:shd w:val="clear" w:color="auto" w:fill="auto"/>
        </w:tcPr>
        <w:p w:rsidR="00C1465D" w:rsidRPr="00C1465D" w:rsidRDefault="00C1465D" w:rsidP="00C1465D">
          <w:pPr>
            <w:pStyle w:val="Footer"/>
            <w:rPr>
              <w:rStyle w:val="LogoportDoNotTranslate"/>
              <w:rFonts w:ascii="Arial" w:hAnsi="Arial" w:cs="Arial"/>
              <w:color w:val="000000" w:themeColor="text1"/>
              <w:sz w:val="16"/>
              <w:szCs w:val="16"/>
            </w:rPr>
          </w:pPr>
          <w:r w:rsidRPr="00C1465D">
            <w:rPr>
              <w:rStyle w:val="LogoportDoNotTranslate"/>
              <w:rFonts w:ascii="Arial" w:hAnsi="Arial" w:cs="Arial"/>
              <w:color w:val="000000" w:themeColor="text1"/>
              <w:sz w:val="16"/>
              <w:szCs w:val="16"/>
            </w:rPr>
            <w:t>GovEligibilityDef(EMEA)(HUN)(Nov2014)</w:t>
          </w:r>
        </w:p>
      </w:tc>
      <w:tc>
        <w:tcPr>
          <w:tcW w:w="4622" w:type="dxa"/>
          <w:shd w:val="clear" w:color="auto" w:fill="auto"/>
        </w:tcPr>
        <w:p w:rsidR="00C1465D" w:rsidRPr="00C1465D" w:rsidRDefault="00C1465D" w:rsidP="00C1465D">
          <w:pPr>
            <w:pStyle w:val="Footer"/>
            <w:jc w:val="right"/>
            <w:rPr>
              <w:rStyle w:val="LogoportDoNotTranslate"/>
              <w:rFonts w:ascii="Arial" w:hAnsi="Arial" w:cs="Arial"/>
              <w:color w:val="000000" w:themeColor="text1"/>
              <w:sz w:val="16"/>
              <w:szCs w:val="16"/>
            </w:rPr>
          </w:pPr>
          <w:r w:rsidRPr="00C1465D">
            <w:rPr>
              <w:rStyle w:val="LogoportDoNotTranslate"/>
              <w:rFonts w:ascii="Arial" w:hAnsi="Arial" w:cs="Arial"/>
              <w:color w:val="000000" w:themeColor="text1"/>
              <w:sz w:val="16"/>
              <w:szCs w:val="16"/>
            </w:rPr>
            <w:t xml:space="preserve">Page </w:t>
          </w:r>
          <w:r w:rsidRPr="00C1465D">
            <w:rPr>
              <w:rStyle w:val="LogoportDoNotTranslate"/>
              <w:rFonts w:ascii="Arial" w:hAnsi="Arial" w:cs="Arial"/>
              <w:color w:val="000000" w:themeColor="text1"/>
              <w:sz w:val="16"/>
              <w:szCs w:val="16"/>
            </w:rPr>
            <w:fldChar w:fldCharType="begin"/>
          </w:r>
          <w:r w:rsidRPr="00C1465D">
            <w:rPr>
              <w:rStyle w:val="LogoportDoNotTranslate"/>
              <w:rFonts w:ascii="Arial" w:hAnsi="Arial" w:cs="Arial"/>
              <w:color w:val="000000" w:themeColor="text1"/>
              <w:sz w:val="16"/>
              <w:szCs w:val="16"/>
            </w:rPr>
            <w:instrText xml:space="preserve"> PAGE  \* MERGEFORMAT </w:instrText>
          </w:r>
          <w:r w:rsidRPr="00C1465D">
            <w:rPr>
              <w:rStyle w:val="LogoportDoNotTranslate"/>
              <w:rFonts w:ascii="Arial" w:hAnsi="Arial" w:cs="Arial"/>
              <w:color w:val="000000" w:themeColor="text1"/>
              <w:sz w:val="16"/>
              <w:szCs w:val="16"/>
            </w:rPr>
            <w:fldChar w:fldCharType="separate"/>
          </w:r>
          <w:r w:rsidR="00DD7CD6">
            <w:rPr>
              <w:rStyle w:val="LogoportDoNotTranslate"/>
              <w:rFonts w:ascii="Arial" w:hAnsi="Arial" w:cs="Arial"/>
              <w:noProof/>
              <w:color w:val="000000" w:themeColor="text1"/>
              <w:sz w:val="16"/>
              <w:szCs w:val="16"/>
            </w:rPr>
            <w:t>1</w:t>
          </w:r>
          <w:r w:rsidRPr="00C1465D">
            <w:rPr>
              <w:rStyle w:val="LogoportDoNotTranslate"/>
              <w:rFonts w:ascii="Arial" w:hAnsi="Arial" w:cs="Arial"/>
              <w:color w:val="000000" w:themeColor="text1"/>
              <w:sz w:val="16"/>
              <w:szCs w:val="16"/>
            </w:rPr>
            <w:fldChar w:fldCharType="end"/>
          </w:r>
          <w:r w:rsidRPr="00C1465D">
            <w:rPr>
              <w:rStyle w:val="LogoportDoNotTranslate"/>
              <w:rFonts w:ascii="Arial" w:hAnsi="Arial" w:cs="Arial"/>
              <w:color w:val="000000" w:themeColor="text1"/>
              <w:sz w:val="16"/>
              <w:szCs w:val="16"/>
            </w:rPr>
            <w:t xml:space="preserve"> of </w:t>
          </w:r>
          <w:r w:rsidRPr="00C1465D">
            <w:rPr>
              <w:rStyle w:val="LogoportDoNotTranslate"/>
              <w:rFonts w:ascii="Arial" w:hAnsi="Arial" w:cs="Arial"/>
              <w:color w:val="000000" w:themeColor="text1"/>
              <w:sz w:val="16"/>
              <w:szCs w:val="16"/>
            </w:rPr>
            <w:fldChar w:fldCharType="begin"/>
          </w:r>
          <w:r w:rsidRPr="00C1465D">
            <w:rPr>
              <w:rStyle w:val="LogoportDoNotTranslate"/>
              <w:rFonts w:ascii="Arial" w:hAnsi="Arial" w:cs="Arial"/>
              <w:color w:val="000000" w:themeColor="text1"/>
              <w:sz w:val="16"/>
              <w:szCs w:val="16"/>
            </w:rPr>
            <w:instrText xml:space="preserve"> NUMPAGES  \* MERGEFORMAT </w:instrText>
          </w:r>
          <w:r w:rsidRPr="00C1465D">
            <w:rPr>
              <w:rStyle w:val="LogoportDoNotTranslate"/>
              <w:rFonts w:ascii="Arial" w:hAnsi="Arial" w:cs="Arial"/>
              <w:color w:val="000000" w:themeColor="text1"/>
              <w:sz w:val="16"/>
              <w:szCs w:val="16"/>
            </w:rPr>
            <w:fldChar w:fldCharType="separate"/>
          </w:r>
          <w:r w:rsidR="00DD7CD6">
            <w:rPr>
              <w:rStyle w:val="LogoportDoNotTranslate"/>
              <w:rFonts w:ascii="Arial" w:hAnsi="Arial" w:cs="Arial"/>
              <w:noProof/>
              <w:color w:val="000000" w:themeColor="text1"/>
              <w:sz w:val="16"/>
              <w:szCs w:val="16"/>
            </w:rPr>
            <w:t>2</w:t>
          </w:r>
          <w:r w:rsidRPr="00C1465D">
            <w:rPr>
              <w:rStyle w:val="LogoportDoNotTranslate"/>
              <w:rFonts w:ascii="Arial" w:hAnsi="Arial" w:cs="Arial"/>
              <w:color w:val="000000" w:themeColor="text1"/>
              <w:sz w:val="16"/>
              <w:szCs w:val="16"/>
            </w:rPr>
            <w:fldChar w:fldCharType="end"/>
          </w:r>
        </w:p>
        <w:p w:rsidR="00C1465D" w:rsidRPr="00C1465D" w:rsidRDefault="00C1465D" w:rsidP="00C1465D">
          <w:pPr>
            <w:pStyle w:val="Footer"/>
            <w:jc w:val="right"/>
            <w:rPr>
              <w:rStyle w:val="LogoportDoNotTranslate"/>
              <w:rFonts w:ascii="Arial" w:hAnsi="Arial" w:cs="Arial"/>
              <w:color w:val="000000" w:themeColor="text1"/>
              <w:sz w:val="16"/>
              <w:szCs w:val="16"/>
            </w:rPr>
          </w:pPr>
        </w:p>
      </w:tc>
    </w:tr>
  </w:tbl>
  <w:p w:rsidR="005D37CF" w:rsidRPr="00C1465D" w:rsidRDefault="005D37CF" w:rsidP="00C1465D">
    <w:pPr>
      <w:pStyle w:val="Footer"/>
      <w:rPr>
        <w:rStyle w:val="LogoportDoNotTranslate"/>
        <w:rFonts w:ascii="Arial" w:hAnsi="Arial" w:cs="Arial"/>
        <w:color w:val="auto"/>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84E" w:rsidRDefault="003E584E" w:rsidP="00CF4E9C">
      <w:pPr>
        <w:spacing w:before="0"/>
      </w:pPr>
      <w:r>
        <w:separator/>
      </w:r>
    </w:p>
  </w:footnote>
  <w:footnote w:type="continuationSeparator" w:id="0">
    <w:p w:rsidR="003E584E" w:rsidRDefault="003E584E"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DD7CD6">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DD7CD6">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CF" w:rsidRDefault="00DD7CD6" w:rsidP="00FB472C">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17783A">
      <w:rPr>
        <w:noProof/>
        <w:lang w:val="en-US" w:eastAsia="en-US" w:bidi="ar-SA"/>
      </w:rPr>
      <w:drawing>
        <wp:inline distT="0" distB="0" distL="0" distR="0" wp14:anchorId="1423BA95" wp14:editId="39B9B0AF">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6204C"/>
    <w:rsid w:val="000829B7"/>
    <w:rsid w:val="000A6499"/>
    <w:rsid w:val="000E2821"/>
    <w:rsid w:val="001263E5"/>
    <w:rsid w:val="00165890"/>
    <w:rsid w:val="0017783A"/>
    <w:rsid w:val="001A4EAB"/>
    <w:rsid w:val="001E20DE"/>
    <w:rsid w:val="002034A1"/>
    <w:rsid w:val="00206791"/>
    <w:rsid w:val="00254540"/>
    <w:rsid w:val="002B1126"/>
    <w:rsid w:val="002C7665"/>
    <w:rsid w:val="002F2434"/>
    <w:rsid w:val="002F2EE8"/>
    <w:rsid w:val="00305443"/>
    <w:rsid w:val="00361066"/>
    <w:rsid w:val="00380578"/>
    <w:rsid w:val="00387A64"/>
    <w:rsid w:val="003A74D8"/>
    <w:rsid w:val="003B6DC6"/>
    <w:rsid w:val="003E584E"/>
    <w:rsid w:val="0042245E"/>
    <w:rsid w:val="004735D0"/>
    <w:rsid w:val="00493CEC"/>
    <w:rsid w:val="004A701B"/>
    <w:rsid w:val="004B6ADE"/>
    <w:rsid w:val="00502D09"/>
    <w:rsid w:val="005505EF"/>
    <w:rsid w:val="00590119"/>
    <w:rsid w:val="005D37CF"/>
    <w:rsid w:val="005D760D"/>
    <w:rsid w:val="005F0E74"/>
    <w:rsid w:val="00602451"/>
    <w:rsid w:val="0064711A"/>
    <w:rsid w:val="006F214E"/>
    <w:rsid w:val="00737B48"/>
    <w:rsid w:val="007C13AD"/>
    <w:rsid w:val="007E1AD7"/>
    <w:rsid w:val="007E463F"/>
    <w:rsid w:val="00810E3F"/>
    <w:rsid w:val="00814D01"/>
    <w:rsid w:val="00837C81"/>
    <w:rsid w:val="00845DF2"/>
    <w:rsid w:val="0084628C"/>
    <w:rsid w:val="0084691D"/>
    <w:rsid w:val="00857479"/>
    <w:rsid w:val="00881D56"/>
    <w:rsid w:val="00883E16"/>
    <w:rsid w:val="008A327A"/>
    <w:rsid w:val="008B12E0"/>
    <w:rsid w:val="008D739F"/>
    <w:rsid w:val="00921E07"/>
    <w:rsid w:val="00962F52"/>
    <w:rsid w:val="00997BA6"/>
    <w:rsid w:val="009B1C45"/>
    <w:rsid w:val="009B4A1E"/>
    <w:rsid w:val="009E224A"/>
    <w:rsid w:val="009E4D3C"/>
    <w:rsid w:val="009F6773"/>
    <w:rsid w:val="00A00760"/>
    <w:rsid w:val="00A12728"/>
    <w:rsid w:val="00A561A9"/>
    <w:rsid w:val="00A74B65"/>
    <w:rsid w:val="00A978E3"/>
    <w:rsid w:val="00AA2506"/>
    <w:rsid w:val="00AA4E58"/>
    <w:rsid w:val="00AA5A57"/>
    <w:rsid w:val="00AF0183"/>
    <w:rsid w:val="00AF2DB2"/>
    <w:rsid w:val="00B31603"/>
    <w:rsid w:val="00BB2686"/>
    <w:rsid w:val="00BF7180"/>
    <w:rsid w:val="00C1465D"/>
    <w:rsid w:val="00C622ED"/>
    <w:rsid w:val="00C71871"/>
    <w:rsid w:val="00C9052D"/>
    <w:rsid w:val="00CC305F"/>
    <w:rsid w:val="00CD6F8A"/>
    <w:rsid w:val="00CF4E9C"/>
    <w:rsid w:val="00D164EA"/>
    <w:rsid w:val="00D243DE"/>
    <w:rsid w:val="00D47475"/>
    <w:rsid w:val="00D760D9"/>
    <w:rsid w:val="00D767E6"/>
    <w:rsid w:val="00DB0E94"/>
    <w:rsid w:val="00DD7CD6"/>
    <w:rsid w:val="00E02027"/>
    <w:rsid w:val="00E17EAA"/>
    <w:rsid w:val="00E223A5"/>
    <w:rsid w:val="00E24334"/>
    <w:rsid w:val="00E55209"/>
    <w:rsid w:val="00E74F51"/>
    <w:rsid w:val="00E81596"/>
    <w:rsid w:val="00EE1A7E"/>
    <w:rsid w:val="00F24527"/>
    <w:rsid w:val="00F3057D"/>
    <w:rsid w:val="00F37954"/>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D1194E3-8A71-4F20-A55A-4359D299E4DF}"/>
  <w:documentProtection w:edit="forms" w:enforcement="true" w:cryptProviderType="rsaFull" w:cryptAlgorithmClass="hash" w:cryptAlgorithmType="typeAny" w:cryptAlgorithmSid="4" w:cryptSpinCount="50000" w:hash="mZWCeg1I4IBHYJJx312OPt+a9/U=" w:salt="RifouMG7wfwYY54saYWQZ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hu-HU" w:eastAsia="hu-HU" w:bidi="hu-HU"/>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D767E6"/>
    <w:rPr>
      <w:rFonts w:ascii="Courier New" w:hAnsi="Courier New" w:cs="Courier New"/>
      <w:b w:val="0"/>
      <w:color w:val="808080"/>
      <w:sz w:val="18"/>
      <w:szCs w:val="36"/>
    </w:rPr>
  </w:style>
  <w:style w:type="character" w:customStyle="1" w:styleId="LogoportMarkup">
    <w:name w:val="LogoportMarkup"/>
    <w:basedOn w:val="DefaultParagraphFont"/>
    <w:rsid w:val="00D767E6"/>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customXml/itemProps2.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6B83B-EBBD-469A-ADA1-BA8B76AEA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79</cp:revision>
  <cp:lastPrinted>2014-09-29T17:20:00Z</cp:lastPrinted>
  <dcterms:created xsi:type="dcterms:W3CDTF">2014-09-05T03:56:00Z</dcterms:created>
  <dcterms:modified xsi:type="dcterms:W3CDTF">2014-10-07T18:29:00Z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