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686" w:rsidRPr="00356FBE" w:rsidRDefault="00CF4E9C" w:rsidP="00BB2686">
      <w:pPr>
        <w:spacing w:before="240"/>
        <w:jc w:val="left"/>
        <w:rPr>
          <w:sz w:val="36"/>
          <w:szCs w:val="36"/>
        </w:rPr>
        <w:sectPr w:rsidR="00BB2686" w:rsidRPr="00356FBE" w:rsidSect="0016589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1440" w:right="1440" w:bottom="1440" w:left="1440" w:header="576" w:footer="432" w:gutter="0"/>
          <w:cols w:space="720"/>
          <w:titlePg/>
          <w:docGrid w:linePitch="360"/>
        </w:sectPr>
      </w:pPr>
      <w:bookmarkStart w:id="0" w:name="_GoBack"/>
      <w:bookmarkEnd w:id="0"/>
      <w:r w:rsidRPr="00356FBE">
        <w:rPr>
          <w:sz w:val="36"/>
          <w:szCs w:val="36"/>
        </w:rPr>
        <w:t>Definizione di Ente Idoneo per Microsoft (EMEA)</w:t>
      </w:r>
    </w:p>
    <w:p w:rsidR="00CF4E9C" w:rsidRPr="00356FBE" w:rsidRDefault="002B1126" w:rsidP="00883E16">
      <w:pPr>
        <w:spacing w:before="360" w:after="120"/>
      </w:pPr>
      <w:r w:rsidRPr="00356FBE">
        <w:lastRenderedPageBreak/>
        <w:t>Le organizzazioni del settore pubblico che rientrano nelle categorie e nei criteri definiti e descritti di seguito sono idonee a partecipare ai programmi multilicenza Microsoft specificamente concepiti per gli</w:t>
      </w:r>
      <w:r w:rsidR="00851197" w:rsidRPr="00356FBE">
        <w:t xml:space="preserve"> enti pubblici (“enti idonei”).</w:t>
      </w:r>
      <w:r w:rsidRPr="00356FBE">
        <w:t xml:space="preserve"> Un “ente idoneo“ è qualsiasi organizzazione che non opera per fini di lucro e che rientra in una delle seguenti categor</w:t>
      </w:r>
      <w:r w:rsidR="00851197" w:rsidRPr="00356FBE">
        <w:t xml:space="preserve">ie: </w:t>
      </w:r>
    </w:p>
    <w:tbl>
      <w:tblPr>
        <w:tblStyle w:val="TableGrid"/>
        <w:tblW w:w="9029" w:type="dxa"/>
        <w:jc w:val="center"/>
        <w:tblLook w:val="04A0" w:firstRow="1" w:lastRow="0" w:firstColumn="1" w:lastColumn="0" w:noHBand="0" w:noVBand="1"/>
      </w:tblPr>
      <w:tblGrid>
        <w:gridCol w:w="3687"/>
        <w:gridCol w:w="5342"/>
      </w:tblGrid>
      <w:tr w:rsidR="00CF4E9C" w:rsidRPr="00356FBE" w:rsidTr="00165890">
        <w:trPr>
          <w:cantSplit/>
          <w:tblHeader/>
          <w:jc w:val="center"/>
        </w:trPr>
        <w:tc>
          <w:tcPr>
            <w:tcW w:w="9029" w:type="dxa"/>
            <w:gridSpan w:val="2"/>
            <w:shd w:val="clear" w:color="auto" w:fill="000000" w:themeFill="text1"/>
          </w:tcPr>
          <w:p w:rsidR="00CF4E9C" w:rsidRPr="00356FBE" w:rsidRDefault="00CF4E9C" w:rsidP="00883E16">
            <w:pPr>
              <w:keepNext/>
              <w:spacing w:before="120" w:after="120"/>
              <w:rPr>
                <w:b/>
                <w:bCs/>
                <w:color w:val="FFFFFF" w:themeColor="background1"/>
              </w:rPr>
            </w:pPr>
            <w:r w:rsidRPr="00356FBE">
              <w:rPr>
                <w:b/>
                <w:bCs/>
                <w:color w:val="FFFFFF" w:themeColor="background1"/>
              </w:rPr>
              <w:t>Categorie</w:t>
            </w:r>
          </w:p>
        </w:tc>
      </w:tr>
      <w:tr w:rsidR="00CF4E9C" w:rsidRPr="00356FBE" w:rsidTr="006707E1">
        <w:trPr>
          <w:cantSplit/>
          <w:tblHeader/>
          <w:jc w:val="center"/>
        </w:trPr>
        <w:tc>
          <w:tcPr>
            <w:tcW w:w="3687" w:type="dxa"/>
            <w:vAlign w:val="center"/>
          </w:tcPr>
          <w:p w:rsidR="00CF4E9C" w:rsidRPr="00356FBE" w:rsidRDefault="00CF4E9C" w:rsidP="00883E16">
            <w:pPr>
              <w:spacing w:before="120" w:after="120"/>
              <w:jc w:val="left"/>
              <w:rPr>
                <w:b/>
                <w:bCs/>
              </w:rPr>
            </w:pPr>
            <w:r w:rsidRPr="00356FBE">
              <w:rPr>
                <w:b/>
                <w:bCs/>
              </w:rPr>
              <w:t>A. Soprannazionale</w:t>
            </w:r>
          </w:p>
        </w:tc>
        <w:tc>
          <w:tcPr>
            <w:tcW w:w="5342" w:type="dxa"/>
            <w:vAlign w:val="center"/>
          </w:tcPr>
          <w:p w:rsidR="00CF4E9C" w:rsidRPr="00356FBE" w:rsidRDefault="00CF4E9C" w:rsidP="006707E1">
            <w:pPr>
              <w:spacing w:before="120" w:after="120"/>
            </w:pPr>
            <w:r w:rsidRPr="00356FBE">
              <w:t>Tutte le organizzazioni/istituzioni che svolgono un ruolo normativo o</w:t>
            </w:r>
            <w:r w:rsidR="006707E1" w:rsidRPr="00356FBE">
              <w:t> </w:t>
            </w:r>
            <w:r w:rsidRPr="00356FBE">
              <w:t>legislativo discernibile in diversi governi nazionali.</w:t>
            </w:r>
          </w:p>
        </w:tc>
      </w:tr>
      <w:tr w:rsidR="00CF4E9C" w:rsidRPr="00356FBE" w:rsidTr="006707E1">
        <w:trPr>
          <w:cantSplit/>
          <w:tblHeader/>
          <w:jc w:val="center"/>
        </w:trPr>
        <w:tc>
          <w:tcPr>
            <w:tcW w:w="3687" w:type="dxa"/>
            <w:vAlign w:val="center"/>
          </w:tcPr>
          <w:p w:rsidR="00CF4E9C" w:rsidRPr="00356FBE" w:rsidRDefault="00CF4E9C" w:rsidP="00883E16">
            <w:pPr>
              <w:spacing w:before="120" w:after="120"/>
              <w:jc w:val="left"/>
              <w:rPr>
                <w:b/>
                <w:bCs/>
              </w:rPr>
            </w:pPr>
            <w:r w:rsidRPr="00356FBE">
              <w:rPr>
                <w:b/>
                <w:bCs/>
              </w:rPr>
              <w:t>B. Nazionale/Federale</w:t>
            </w:r>
          </w:p>
        </w:tc>
        <w:tc>
          <w:tcPr>
            <w:tcW w:w="5342" w:type="dxa"/>
            <w:vAlign w:val="center"/>
          </w:tcPr>
          <w:p w:rsidR="00CF4E9C" w:rsidRPr="00356FBE" w:rsidRDefault="00CF4E9C" w:rsidP="006707E1">
            <w:pPr>
              <w:spacing w:before="120" w:after="120"/>
            </w:pPr>
            <w:r w:rsidRPr="00356FBE">
              <w:t>Tutte le organizzazioni/istituzioni governative che vengono gestite a</w:t>
            </w:r>
            <w:r w:rsidR="006707E1" w:rsidRPr="00356FBE">
              <w:t> </w:t>
            </w:r>
            <w:r w:rsidRPr="00356FBE">
              <w:t>livello federale/nazionale e hanno l</w:t>
            </w:r>
            <w:r w:rsidR="00FA3E9C" w:rsidRPr="00356FBE">
              <w:t>’</w:t>
            </w:r>
            <w:r w:rsidRPr="00356FBE">
              <w:t>incarico di go</w:t>
            </w:r>
            <w:r w:rsidR="00851197" w:rsidRPr="00356FBE">
              <w:t>vernare una nazione o</w:t>
            </w:r>
            <w:r w:rsidR="006707E1" w:rsidRPr="00356FBE">
              <w:t> </w:t>
            </w:r>
            <w:r w:rsidR="00851197" w:rsidRPr="00356FBE">
              <w:t>un paese.</w:t>
            </w:r>
            <w:r w:rsidRPr="00356FBE">
              <w:t xml:space="preserve"> Sono inclusi gli enti parlamentari e giudiziari che hanno il</w:t>
            </w:r>
            <w:r w:rsidR="006707E1" w:rsidRPr="00356FBE">
              <w:t> </w:t>
            </w:r>
            <w:r w:rsidRPr="00356FBE">
              <w:t>potere di definire o decidere il principio di legalità.</w:t>
            </w:r>
          </w:p>
        </w:tc>
      </w:tr>
      <w:tr w:rsidR="00CF4E9C" w:rsidRPr="00356FBE" w:rsidTr="006707E1">
        <w:trPr>
          <w:cantSplit/>
          <w:tblHeader/>
          <w:jc w:val="center"/>
        </w:trPr>
        <w:tc>
          <w:tcPr>
            <w:tcW w:w="3687" w:type="dxa"/>
            <w:vAlign w:val="center"/>
          </w:tcPr>
          <w:p w:rsidR="00CF4E9C" w:rsidRPr="00356FBE" w:rsidRDefault="006707E1" w:rsidP="00883E16">
            <w:pPr>
              <w:spacing w:before="120" w:after="120"/>
              <w:jc w:val="left"/>
              <w:rPr>
                <w:b/>
                <w:bCs/>
              </w:rPr>
            </w:pPr>
            <w:r w:rsidRPr="00356FBE">
              <w:rPr>
                <w:b/>
                <w:bCs/>
              </w:rPr>
              <w:t>C. Regionale/Statale</w:t>
            </w:r>
            <w:r w:rsidR="00CF4E9C" w:rsidRPr="00356FBE">
              <w:rPr>
                <w:b/>
                <w:bCs/>
              </w:rPr>
              <w:t>/Provinciale</w:t>
            </w:r>
          </w:p>
        </w:tc>
        <w:tc>
          <w:tcPr>
            <w:tcW w:w="5342" w:type="dxa"/>
            <w:vAlign w:val="center"/>
          </w:tcPr>
          <w:p w:rsidR="00CF4E9C" w:rsidRPr="00356FBE" w:rsidRDefault="00CF4E9C" w:rsidP="006707E1">
            <w:pPr>
              <w:spacing w:before="120" w:after="120"/>
            </w:pPr>
            <w:r w:rsidRPr="00356FBE">
              <w:t>Un livello intermedio di Governo che non copre un intero paese, ma possiede più aree di governi locali all</w:t>
            </w:r>
            <w:r w:rsidR="00FA3E9C" w:rsidRPr="00356FBE">
              <w:t>’</w:t>
            </w:r>
            <w:r w:rsidRPr="00356FBE">
              <w:t>interno della giurisdizione pubblica. Sono incluse (1) tutte le organizzazioni/istituzioni governative che vengono gestite a livello statale/regionale e che vengono denominate in modi diversi: regioni, dipartimenti, stati, lander, contee o</w:t>
            </w:r>
            <w:r w:rsidR="006707E1" w:rsidRPr="00356FBE">
              <w:t> </w:t>
            </w:r>
            <w:r w:rsidRPr="00356FBE">
              <w:t>province, e (2) tutti i dipartimenti, gli enti parlamentari, le autorità regolatrici e gli enti giuridici che hanno il potere di definire o decidere il principio di legalità in tali regioni, dipartimenti, stati, lander, contee o province.</w:t>
            </w:r>
          </w:p>
        </w:tc>
      </w:tr>
      <w:tr w:rsidR="00CF4E9C" w:rsidRPr="00356FBE" w:rsidTr="006707E1">
        <w:trPr>
          <w:cantSplit/>
          <w:tblHeader/>
          <w:jc w:val="center"/>
        </w:trPr>
        <w:tc>
          <w:tcPr>
            <w:tcW w:w="3687" w:type="dxa"/>
            <w:vAlign w:val="center"/>
          </w:tcPr>
          <w:p w:rsidR="00CF4E9C" w:rsidRPr="00356FBE" w:rsidRDefault="00CF4E9C" w:rsidP="00883E16">
            <w:pPr>
              <w:spacing w:before="120" w:after="120"/>
              <w:jc w:val="left"/>
              <w:rPr>
                <w:b/>
                <w:bCs/>
              </w:rPr>
            </w:pPr>
            <w:r w:rsidRPr="00356FBE">
              <w:rPr>
                <w:b/>
                <w:bCs/>
              </w:rPr>
              <w:t>D. Locale/Municipale</w:t>
            </w:r>
          </w:p>
        </w:tc>
        <w:tc>
          <w:tcPr>
            <w:tcW w:w="5342" w:type="dxa"/>
            <w:vAlign w:val="center"/>
          </w:tcPr>
          <w:p w:rsidR="00CF4E9C" w:rsidRPr="00356FBE" w:rsidRDefault="00CF4E9C" w:rsidP="006707E1">
            <w:pPr>
              <w:spacing w:before="120" w:after="120"/>
            </w:pPr>
            <w:r w:rsidRPr="00356FBE">
              <w:t>Il livello inferiore di Governo e di amministrazione associata. Sono incluse tutte le organizzazioni/istituzioni governative che vengono gestite a livello di città, cittadina, distretto, municipalità, villaggio, borgata, comune e comunità, (ad esempio, attività ricreative, raccolta dei rifiuti, servizio antincendio, controllo dei</w:t>
            </w:r>
            <w:r w:rsidR="006707E1" w:rsidRPr="00356FBE">
              <w:t> </w:t>
            </w:r>
            <w:r w:rsidRPr="00356FBE">
              <w:t>servizi locali e implementazione di alcuni servizi nazionali).</w:t>
            </w:r>
          </w:p>
        </w:tc>
      </w:tr>
      <w:tr w:rsidR="00CF4E9C" w:rsidRPr="00356FBE" w:rsidTr="006707E1">
        <w:trPr>
          <w:cantSplit/>
          <w:tblHeader/>
          <w:jc w:val="center"/>
        </w:trPr>
        <w:tc>
          <w:tcPr>
            <w:tcW w:w="3687" w:type="dxa"/>
            <w:vAlign w:val="center"/>
          </w:tcPr>
          <w:p w:rsidR="00CF4E9C" w:rsidRPr="00356FBE" w:rsidRDefault="00CF4E9C" w:rsidP="00883E16">
            <w:pPr>
              <w:spacing w:before="120" w:after="120"/>
              <w:jc w:val="left"/>
              <w:rPr>
                <w:b/>
                <w:bCs/>
              </w:rPr>
            </w:pPr>
            <w:r w:rsidRPr="00356FBE">
              <w:rPr>
                <w:b/>
                <w:bCs/>
              </w:rPr>
              <w:t>E. Sanità</w:t>
            </w:r>
          </w:p>
        </w:tc>
        <w:tc>
          <w:tcPr>
            <w:tcW w:w="5342" w:type="dxa"/>
            <w:vAlign w:val="center"/>
          </w:tcPr>
          <w:p w:rsidR="00CF4E9C" w:rsidRPr="00356FBE" w:rsidRDefault="00CF4E9C" w:rsidP="00883E16">
            <w:pPr>
              <w:spacing w:before="120" w:after="120"/>
            </w:pPr>
            <w:r w:rsidRPr="00356FBE">
              <w:t>Qualsiasi organizzazione/istituzione governativa che eroghi servizi di assistenza sanitaria e copertura, ne definisca o decida i criteri in uno stato o paese, fornisca fondi per tali servizi o copertura oppure svolga un ruolo regolatorio nei servizi e nella copertura.</w:t>
            </w:r>
          </w:p>
        </w:tc>
      </w:tr>
      <w:tr w:rsidR="00CF4E9C" w:rsidRPr="00356FBE" w:rsidTr="006707E1">
        <w:trPr>
          <w:cantSplit/>
          <w:tblHeader/>
          <w:jc w:val="center"/>
        </w:trPr>
        <w:tc>
          <w:tcPr>
            <w:tcW w:w="3687" w:type="dxa"/>
            <w:vAlign w:val="center"/>
          </w:tcPr>
          <w:p w:rsidR="00CF4E9C" w:rsidRPr="00356FBE" w:rsidRDefault="00CF4E9C" w:rsidP="00883E16">
            <w:pPr>
              <w:spacing w:before="120" w:after="120"/>
              <w:jc w:val="left"/>
              <w:rPr>
                <w:b/>
                <w:bCs/>
              </w:rPr>
            </w:pPr>
            <w:r w:rsidRPr="00356FBE">
              <w:rPr>
                <w:b/>
                <w:bCs/>
              </w:rPr>
              <w:t>F. Altre Organizzazioni Governative</w:t>
            </w:r>
          </w:p>
        </w:tc>
        <w:tc>
          <w:tcPr>
            <w:tcW w:w="5342" w:type="dxa"/>
            <w:vAlign w:val="center"/>
          </w:tcPr>
          <w:p w:rsidR="00CF4E9C" w:rsidRPr="00356FBE" w:rsidRDefault="00CF4E9C" w:rsidP="00883E16">
            <w:pPr>
              <w:spacing w:before="120" w:after="120"/>
            </w:pPr>
            <w:r w:rsidRPr="00356FBE">
              <w:t>Qualsiasi organizzazione che singolarmente debba rendere conto a, e alla fine sia controllata da, un Governo Statale riconosciuto a livello internazionale.</w:t>
            </w:r>
          </w:p>
          <w:p w:rsidR="00AA5A57" w:rsidRPr="00356FBE" w:rsidRDefault="00AA5A57" w:rsidP="00883E16">
            <w:pPr>
              <w:spacing w:after="120"/>
            </w:pPr>
            <w:r w:rsidRPr="00356FBE">
              <w:t>Qualsiasi organizzazione creata dalla legislazione per attuare uno scopo pubblico secondo quanto descritto nelle relative leggi che attribuiscono specifici poteri a enti o negli articoli dell</w:t>
            </w:r>
            <w:r w:rsidR="00FA3E9C" w:rsidRPr="00356FBE">
              <w:t>’</w:t>
            </w:r>
            <w:r w:rsidRPr="00356FBE">
              <w:t xml:space="preserve">associazione o degli obiettivi di tale organizzazione (ad esempio, comitati per il controllo statutario, enti municipali, organizzazioni di ricerca governative). </w:t>
            </w:r>
          </w:p>
        </w:tc>
      </w:tr>
    </w:tbl>
    <w:p w:rsidR="00CF4E9C" w:rsidRPr="00356FBE" w:rsidRDefault="00CF4E9C" w:rsidP="00883E16">
      <w:r w:rsidRPr="00356FBE">
        <w:lastRenderedPageBreak/>
        <w:t>Qualora un</w:t>
      </w:r>
      <w:r w:rsidR="00FA3E9C" w:rsidRPr="00356FBE">
        <w:t>’</w:t>
      </w:r>
      <w:r w:rsidRPr="00356FBE">
        <w:t>organizzazione rientri in una delle categorie di cui sopra e operi alla ricerca di profitto, verranno applicati i seguenti criteri aggiuntivi per determinare se un</w:t>
      </w:r>
      <w:r w:rsidR="00FA3E9C" w:rsidRPr="00356FBE">
        <w:t>’</w:t>
      </w:r>
      <w:r w:rsidRPr="00356FBE">
        <w:t>organizzazione si qualifica come ente idoneo:</w:t>
      </w:r>
    </w:p>
    <w:p w:rsidR="00CF4E9C" w:rsidRPr="00356FBE" w:rsidRDefault="00CF4E9C" w:rsidP="00883E16">
      <w:pPr>
        <w:pStyle w:val="ListParagraph"/>
        <w:numPr>
          <w:ilvl w:val="0"/>
          <w:numId w:val="1"/>
        </w:numPr>
        <w:ind w:left="1080"/>
        <w:contextualSpacing w:val="0"/>
      </w:pPr>
      <w:r w:rsidRPr="00356FBE">
        <w:t>Le entrate/i profitti sono di pertinenza esclusiva dell</w:t>
      </w:r>
      <w:r w:rsidR="00FA3E9C" w:rsidRPr="00356FBE">
        <w:t>’</w:t>
      </w:r>
      <w:r w:rsidRPr="00356FBE">
        <w:t>ente pubblico (o vengono condivisi anche con gli azionisti privati)?</w:t>
      </w:r>
    </w:p>
    <w:p w:rsidR="00CF4E9C" w:rsidRPr="00356FBE" w:rsidRDefault="00CF4E9C" w:rsidP="00883E16">
      <w:pPr>
        <w:pStyle w:val="ListParagraph"/>
        <w:numPr>
          <w:ilvl w:val="0"/>
          <w:numId w:val="1"/>
        </w:numPr>
        <w:ind w:left="1080"/>
        <w:contextualSpacing w:val="0"/>
      </w:pPr>
      <w:r w:rsidRPr="00356FBE">
        <w:t>L</w:t>
      </w:r>
      <w:r w:rsidR="00FA3E9C" w:rsidRPr="00356FBE">
        <w:t>’</w:t>
      </w:r>
      <w:r w:rsidRPr="00356FBE">
        <w:t>organizzazione in questione gode dell</w:t>
      </w:r>
      <w:r w:rsidR="00FA3E9C" w:rsidRPr="00356FBE">
        <w:t>’</w:t>
      </w:r>
      <w:r w:rsidRPr="00356FBE">
        <w:t>esenzione dall</w:t>
      </w:r>
      <w:r w:rsidR="00FA3E9C" w:rsidRPr="00356FBE">
        <w:t>’</w:t>
      </w:r>
      <w:r w:rsidRPr="00356FBE">
        <w:t>imposta sugli utili di impresa?</w:t>
      </w:r>
    </w:p>
    <w:p w:rsidR="00CF4E9C" w:rsidRPr="00356FBE" w:rsidRDefault="00CF4E9C" w:rsidP="00883E16">
      <w:pPr>
        <w:pStyle w:val="ListParagraph"/>
        <w:numPr>
          <w:ilvl w:val="0"/>
          <w:numId w:val="1"/>
        </w:numPr>
        <w:ind w:left="1080"/>
        <w:contextualSpacing w:val="0"/>
      </w:pPr>
      <w:r w:rsidRPr="00356FBE">
        <w:t>L</w:t>
      </w:r>
      <w:r w:rsidR="00FA3E9C" w:rsidRPr="00356FBE">
        <w:t>’</w:t>
      </w:r>
      <w:r w:rsidRPr="00356FBE">
        <w:t>organizzazione è finanziata per oltre il 50% dall</w:t>
      </w:r>
      <w:r w:rsidR="00FA3E9C" w:rsidRPr="00356FBE">
        <w:t>’</w:t>
      </w:r>
      <w:r w:rsidRPr="00356FBE">
        <w:t>ente pubblico (ad esempio, meno del</w:t>
      </w:r>
      <w:r w:rsidR="00576B74" w:rsidRPr="00356FBE">
        <w:t> </w:t>
      </w:r>
      <w:r w:rsidRPr="00356FBE">
        <w:t>50% dei fondi dell</w:t>
      </w:r>
      <w:r w:rsidR="00FA3E9C" w:rsidRPr="00356FBE">
        <w:t>’</w:t>
      </w:r>
      <w:r w:rsidRPr="00356FBE">
        <w:t>organizzazione proviene dalle attività commerciali)?</w:t>
      </w:r>
    </w:p>
    <w:p w:rsidR="00CF4E9C" w:rsidRPr="00356FBE" w:rsidRDefault="00CF4E9C" w:rsidP="00883E16">
      <w:r w:rsidRPr="00356FBE">
        <w:t>Nel caso in cui la risposta a tutte queste domande sia affermativa, l</w:t>
      </w:r>
      <w:r w:rsidR="00FA3E9C" w:rsidRPr="00356FBE">
        <w:t>’</w:t>
      </w:r>
      <w:r w:rsidRPr="00356FBE">
        <w:t>organizzazione si qualifica come ente idoneo. Nel caso in cui la risposta alle domande sia negativa, l</w:t>
      </w:r>
      <w:r w:rsidR="00FA3E9C" w:rsidRPr="00356FBE">
        <w:t>’</w:t>
      </w:r>
      <w:r w:rsidRPr="00356FBE">
        <w:t>organizzazione non si qualifica come ente idoneo. A livello generale, gli enti pubblici, le imprese statali e le organizzazioni governative (sia incorporate che non) che intraprendono attività commerciali (ad esempio, telecomunicazioni, banche, trasporti, ecc.) non s</w:t>
      </w:r>
      <w:r w:rsidR="00356FBE">
        <w:t>i qualificano come enti idonei.</w:t>
      </w:r>
    </w:p>
    <w:p w:rsidR="00CF4E9C" w:rsidRPr="00356FBE" w:rsidRDefault="00CF4E9C" w:rsidP="00883E16">
      <w:r w:rsidRPr="00356FBE">
        <w:t>Qualora il Governo di un paese pubblichi un elenco delle organizzazioni del settore pubblico, tali</w:t>
      </w:r>
      <w:r w:rsidR="00356FBE">
        <w:t> </w:t>
      </w:r>
      <w:r w:rsidRPr="00356FBE">
        <w:t>organizzazioni dovranno soddisfare i criteri stabiliti nella presente definizione per qualifi</w:t>
      </w:r>
      <w:r w:rsidR="00356FBE">
        <w:t>carsi come enti idonei.</w:t>
      </w:r>
    </w:p>
    <w:p w:rsidR="00E24334" w:rsidRPr="00356FBE" w:rsidRDefault="00E24334" w:rsidP="00883E16">
      <w:r w:rsidRPr="00356FBE">
        <w:t>Qualora un</w:t>
      </w:r>
      <w:r w:rsidR="00FA3E9C" w:rsidRPr="00356FBE">
        <w:t>’</w:t>
      </w:r>
      <w:r w:rsidRPr="00356FBE">
        <w:t>organizzazione perda lo stato di ente pubblico idoneo successivamente alla sottoscrizione di un contratto di licenza, potrà continuare a utilizzare le copie che ha ricevuto in licenza, ma non potrà presentare nuovi ordini di Licenze ai sensi dei programmi di Licenza Microsoft Government o</w:t>
      </w:r>
      <w:r w:rsidR="006707E1" w:rsidRPr="00356FBE">
        <w:t> </w:t>
      </w:r>
      <w:r w:rsidR="00356FBE">
        <w:t>Charity Open.</w:t>
      </w:r>
    </w:p>
    <w:p w:rsidR="00F9352D" w:rsidRPr="00356FBE" w:rsidRDefault="00A561A9" w:rsidP="000A6499">
      <w:bookmarkStart w:id="1" w:name="OLE_LINK1"/>
      <w:bookmarkStart w:id="2" w:name="OLE_LINK2"/>
      <w:r w:rsidRPr="00356FBE">
        <w:t xml:space="preserve">Microsoft offre prezzi per enti pubblici a organizzazioni del settore pubblico idonee (come </w:t>
      </w:r>
      <w:r w:rsidR="00851197" w:rsidRPr="00356FBE">
        <w:t>specificato e descritto sopra).</w:t>
      </w:r>
      <w:r w:rsidRPr="00356FBE">
        <w:t xml:space="preserve"> In conformità a eventuali requisiti di idoneità aggiuntivi definiti in un particolare contratto multilicenza, le organizzazioni idonee si qualificheranno per ricevere (1) un livello di prezzo D previsto dai programmi per contratti multilicenza Enterprise, Enterprise Subscription, Select o</w:t>
      </w:r>
      <w:r w:rsidR="006707E1" w:rsidRPr="00356FBE">
        <w:t> </w:t>
      </w:r>
      <w:r w:rsidRPr="00356FBE">
        <w:t>Select Plus o (2) altri sconti disponibili in base ad altri programmi Microsoft per contratti multilicenza.</w:t>
      </w:r>
      <w:bookmarkEnd w:id="1"/>
      <w:bookmarkEnd w:id="2"/>
    </w:p>
    <w:sectPr w:rsidR="00F9352D" w:rsidRPr="00356FBE" w:rsidSect="00165890">
      <w:type w:val="continuous"/>
      <w:pgSz w:w="11907" w:h="16839" w:code="9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60C" w:rsidRDefault="00DB560C" w:rsidP="00CF4E9C">
      <w:pPr>
        <w:spacing w:before="0"/>
      </w:pPr>
      <w:r>
        <w:separator/>
      </w:r>
    </w:p>
  </w:endnote>
  <w:endnote w:type="continuationSeparator" w:id="0">
    <w:p w:rsidR="00DB560C" w:rsidRDefault="00DB560C" w:rsidP="00CF4E9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DF1" w:rsidRDefault="00823D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02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1"/>
      <w:gridCol w:w="4468"/>
    </w:tblGrid>
    <w:tr w:rsidR="00823DF1" w:rsidRPr="00823DF1" w:rsidTr="006900E6">
      <w:trPr>
        <w:jc w:val="center"/>
      </w:trPr>
      <w:tc>
        <w:tcPr>
          <w:tcW w:w="4621" w:type="dxa"/>
          <w:shd w:val="clear" w:color="auto" w:fill="auto"/>
        </w:tcPr>
        <w:p w:rsidR="00823DF1" w:rsidRPr="00823DF1" w:rsidRDefault="00823DF1" w:rsidP="00823DF1">
          <w:pPr>
            <w:pStyle w:val="Footer"/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</w:pPr>
          <w:r w:rsidRPr="00823DF1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t>GovEligibilityDef(EMEA)(ITA)(Nov2014)</w:t>
          </w:r>
        </w:p>
      </w:tc>
      <w:tc>
        <w:tcPr>
          <w:tcW w:w="4622" w:type="dxa"/>
          <w:shd w:val="clear" w:color="auto" w:fill="auto"/>
        </w:tcPr>
        <w:p w:rsidR="00823DF1" w:rsidRPr="00823DF1" w:rsidRDefault="00823DF1" w:rsidP="00823DF1">
          <w:pPr>
            <w:pStyle w:val="Footer"/>
            <w:jc w:val="right"/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</w:pPr>
          <w:r w:rsidRPr="00823DF1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t xml:space="preserve">Page </w:t>
          </w:r>
          <w:r w:rsidRPr="00823DF1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fldChar w:fldCharType="begin"/>
          </w:r>
          <w:r w:rsidRPr="00823DF1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instrText xml:space="preserve"> PAGE  \* MERGEFORMAT </w:instrText>
          </w:r>
          <w:r w:rsidRPr="00823DF1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fldChar w:fldCharType="separate"/>
          </w:r>
          <w:r w:rsidR="000E0F45">
            <w:rPr>
              <w:rStyle w:val="LogoportDoNotTranslate"/>
              <w:rFonts w:ascii="Arial" w:hAnsi="Arial" w:cs="Arial"/>
              <w:noProof/>
              <w:color w:val="auto"/>
              <w:sz w:val="16"/>
              <w:szCs w:val="16"/>
            </w:rPr>
            <w:t>2</w:t>
          </w:r>
          <w:r w:rsidRPr="00823DF1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fldChar w:fldCharType="end"/>
          </w:r>
          <w:r w:rsidRPr="00823DF1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t xml:space="preserve"> of </w:t>
          </w:r>
          <w:r w:rsidRPr="00823DF1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fldChar w:fldCharType="begin"/>
          </w:r>
          <w:r w:rsidRPr="00823DF1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instrText xml:space="preserve"> NUMPAGES  \* MERGEFORMAT </w:instrText>
          </w:r>
          <w:r w:rsidRPr="00823DF1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fldChar w:fldCharType="separate"/>
          </w:r>
          <w:r w:rsidR="000E0F45">
            <w:rPr>
              <w:rStyle w:val="LogoportDoNotTranslate"/>
              <w:rFonts w:ascii="Arial" w:hAnsi="Arial" w:cs="Arial"/>
              <w:noProof/>
              <w:color w:val="auto"/>
              <w:sz w:val="16"/>
              <w:szCs w:val="16"/>
            </w:rPr>
            <w:t>2</w:t>
          </w:r>
          <w:r w:rsidRPr="00823DF1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fldChar w:fldCharType="end"/>
          </w:r>
        </w:p>
        <w:p w:rsidR="00823DF1" w:rsidRPr="00823DF1" w:rsidRDefault="00823DF1" w:rsidP="00823DF1">
          <w:pPr>
            <w:pStyle w:val="Footer"/>
            <w:jc w:val="right"/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</w:pPr>
        </w:p>
      </w:tc>
    </w:tr>
  </w:tbl>
  <w:p w:rsidR="00823DF1" w:rsidRPr="00823DF1" w:rsidRDefault="00823DF1" w:rsidP="00823DF1">
    <w:pPr>
      <w:pStyle w:val="Footer"/>
      <w:rPr>
        <w:rStyle w:val="LogoportDoNotTranslate"/>
        <w:rFonts w:ascii="Arial" w:hAnsi="Arial" w:cs="Arial"/>
        <w:color w:val="auto"/>
        <w:sz w:val="16"/>
        <w:szCs w:val="20"/>
      </w:rPr>
    </w:pPr>
  </w:p>
  <w:p w:rsidR="0006204C" w:rsidRPr="00823DF1" w:rsidRDefault="0006204C" w:rsidP="00823DF1">
    <w:pPr>
      <w:pStyle w:val="Footer"/>
      <w:rPr>
        <w:rStyle w:val="LogoportDoNotTranslate"/>
        <w:rFonts w:ascii="Arial" w:hAnsi="Arial" w:cs="Arial"/>
        <w:color w:val="auto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02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1"/>
      <w:gridCol w:w="4468"/>
    </w:tblGrid>
    <w:tr w:rsidR="00823DF1" w:rsidRPr="00823DF1" w:rsidTr="00823DF1">
      <w:trPr>
        <w:jc w:val="center"/>
      </w:trPr>
      <w:tc>
        <w:tcPr>
          <w:tcW w:w="4621" w:type="dxa"/>
          <w:shd w:val="clear" w:color="auto" w:fill="auto"/>
        </w:tcPr>
        <w:p w:rsidR="00823DF1" w:rsidRPr="00823DF1" w:rsidRDefault="00823DF1" w:rsidP="00823DF1">
          <w:pPr>
            <w:pStyle w:val="Footer"/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</w:pPr>
          <w:r w:rsidRPr="00823DF1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t>GovEligibilityDef(EMEA)(ITA)(Nov2014)</w:t>
          </w:r>
        </w:p>
      </w:tc>
      <w:tc>
        <w:tcPr>
          <w:tcW w:w="4622" w:type="dxa"/>
          <w:shd w:val="clear" w:color="auto" w:fill="auto"/>
        </w:tcPr>
        <w:p w:rsidR="00823DF1" w:rsidRPr="00823DF1" w:rsidRDefault="00823DF1" w:rsidP="00823DF1">
          <w:pPr>
            <w:pStyle w:val="Footer"/>
            <w:jc w:val="right"/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</w:pPr>
          <w:r w:rsidRPr="00823DF1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t xml:space="preserve">Page </w:t>
          </w:r>
          <w:r w:rsidRPr="00823DF1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fldChar w:fldCharType="begin"/>
          </w:r>
          <w:r w:rsidRPr="00823DF1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instrText xml:space="preserve"> PAGE  \* MERGEFORMAT </w:instrText>
          </w:r>
          <w:r w:rsidRPr="00823DF1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fldChar w:fldCharType="separate"/>
          </w:r>
          <w:r w:rsidR="000E0F45">
            <w:rPr>
              <w:rStyle w:val="LogoportDoNotTranslate"/>
              <w:rFonts w:ascii="Arial" w:hAnsi="Arial" w:cs="Arial"/>
              <w:noProof/>
              <w:color w:val="auto"/>
              <w:sz w:val="16"/>
              <w:szCs w:val="16"/>
            </w:rPr>
            <w:t>1</w:t>
          </w:r>
          <w:r w:rsidRPr="00823DF1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fldChar w:fldCharType="end"/>
          </w:r>
          <w:r w:rsidRPr="00823DF1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t xml:space="preserve"> of </w:t>
          </w:r>
          <w:r w:rsidRPr="00823DF1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fldChar w:fldCharType="begin"/>
          </w:r>
          <w:r w:rsidRPr="00823DF1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instrText xml:space="preserve"> NUMPAGES  \* MERGEFORMAT </w:instrText>
          </w:r>
          <w:r w:rsidRPr="00823DF1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fldChar w:fldCharType="separate"/>
          </w:r>
          <w:r w:rsidR="000E0F45">
            <w:rPr>
              <w:rStyle w:val="LogoportDoNotTranslate"/>
              <w:rFonts w:ascii="Arial" w:hAnsi="Arial" w:cs="Arial"/>
              <w:noProof/>
              <w:color w:val="auto"/>
              <w:sz w:val="16"/>
              <w:szCs w:val="16"/>
            </w:rPr>
            <w:t>2</w:t>
          </w:r>
          <w:r w:rsidRPr="00823DF1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fldChar w:fldCharType="end"/>
          </w:r>
        </w:p>
        <w:p w:rsidR="00823DF1" w:rsidRPr="00823DF1" w:rsidRDefault="00823DF1" w:rsidP="00823DF1">
          <w:pPr>
            <w:pStyle w:val="Footer"/>
            <w:jc w:val="right"/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</w:pPr>
        </w:p>
      </w:tc>
    </w:tr>
  </w:tbl>
  <w:p w:rsidR="005D37CF" w:rsidRPr="00823DF1" w:rsidRDefault="005D37CF" w:rsidP="00823DF1">
    <w:pPr>
      <w:pStyle w:val="Footer"/>
      <w:rPr>
        <w:rStyle w:val="LogoportDoNotTranslate"/>
        <w:rFonts w:ascii="Arial" w:hAnsi="Arial" w:cs="Arial"/>
        <w:color w:val="auto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60C" w:rsidRDefault="00DB560C" w:rsidP="00CF4E9C">
      <w:pPr>
        <w:spacing w:before="0"/>
      </w:pPr>
      <w:r>
        <w:separator/>
      </w:r>
    </w:p>
  </w:footnote>
  <w:footnote w:type="continuationSeparator" w:id="0">
    <w:p w:rsidR="00DB560C" w:rsidRDefault="00DB560C" w:rsidP="00CF4E9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B65" w:rsidRDefault="000E0F45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123626" o:spid="_x0000_s2053" type="#_x0000_t75" style="position:absolute;left:0;text-align:left;margin-left:0;margin-top:0;width:451.2pt;height:254.35pt;z-index:-251657216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B65" w:rsidRDefault="000E0F45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123627" o:spid="_x0000_s2054" type="#_x0000_t75" style="position:absolute;left:0;text-align:left;margin-left:0;margin-top:0;width:451.2pt;height:254.35pt;z-index:-251656192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7CF" w:rsidRDefault="000E0F45" w:rsidP="00FB472C">
    <w:pPr>
      <w:pStyle w:val="Header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123625" o:spid="_x0000_s2052" type="#_x0000_t75" style="position:absolute;margin-left:0;margin-top:0;width:451.2pt;height:254.35pt;z-index:-251658240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  <w:r w:rsidR="0017783A">
      <w:rPr>
        <w:noProof/>
        <w:lang w:val="en-US" w:eastAsia="en-US" w:bidi="ar-SA"/>
      </w:rPr>
      <w:drawing>
        <wp:inline distT="0" distB="0" distL="0" distR="0" wp14:anchorId="68EA6511" wp14:editId="03343331">
          <wp:extent cx="5724525" cy="561975"/>
          <wp:effectExtent l="0" t="0" r="0" b="9525"/>
          <wp:docPr id="1" name="Picture 1" descr="C:\Users\v-zamorr\Desktop\new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-zamorr\Desktop\new h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53E7C"/>
    <w:multiLevelType w:val="hybridMultilevel"/>
    <w:tmpl w:val="B22E41D8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>
    <w:nsid w:val="02D00D01"/>
    <w:multiLevelType w:val="hybridMultilevel"/>
    <w:tmpl w:val="1A6854BC"/>
    <w:lvl w:ilvl="0" w:tplc="382C68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136F6"/>
    <w:multiLevelType w:val="hybridMultilevel"/>
    <w:tmpl w:val="1A6854BC"/>
    <w:lvl w:ilvl="0" w:tplc="382C68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12C45"/>
    <w:multiLevelType w:val="hybridMultilevel"/>
    <w:tmpl w:val="1C9C1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C03D8"/>
    <w:multiLevelType w:val="hybridMultilevel"/>
    <w:tmpl w:val="E2D803AC"/>
    <w:lvl w:ilvl="0" w:tplc="28A486D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9082D"/>
    <w:multiLevelType w:val="hybridMultilevel"/>
    <w:tmpl w:val="91420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54390"/>
    <w:multiLevelType w:val="hybridMultilevel"/>
    <w:tmpl w:val="7BF299D6"/>
    <w:lvl w:ilvl="0" w:tplc="382C68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F7552D"/>
    <w:multiLevelType w:val="hybridMultilevel"/>
    <w:tmpl w:val="AD70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A56B6"/>
    <w:multiLevelType w:val="hybridMultilevel"/>
    <w:tmpl w:val="4E6E5CF0"/>
    <w:lvl w:ilvl="0" w:tplc="D2E061E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187D14"/>
    <w:multiLevelType w:val="hybridMultilevel"/>
    <w:tmpl w:val="1A6854BC"/>
    <w:lvl w:ilvl="0" w:tplc="382C68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9B6D05"/>
    <w:multiLevelType w:val="hybridMultilevel"/>
    <w:tmpl w:val="FC2E0CBE"/>
    <w:lvl w:ilvl="0" w:tplc="1124D4FA">
      <w:start w:val="1"/>
      <w:numFmt w:val="decimal"/>
      <w:lvlText w:val="%1."/>
      <w:lvlJc w:val="left"/>
      <w:pPr>
        <w:ind w:left="720" w:hanging="360"/>
      </w:pPr>
      <w:rPr>
        <w:b/>
        <w:bCs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941251"/>
    <w:multiLevelType w:val="hybridMultilevel"/>
    <w:tmpl w:val="DBA03C4C"/>
    <w:lvl w:ilvl="0" w:tplc="BFE2E13A">
      <w:start w:val="1"/>
      <w:numFmt w:val="lowerLetter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9998E7A4">
      <w:start w:val="1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6B5DCA"/>
    <w:multiLevelType w:val="hybridMultilevel"/>
    <w:tmpl w:val="97562536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3">
    <w:nsid w:val="438D43AF"/>
    <w:multiLevelType w:val="hybridMultilevel"/>
    <w:tmpl w:val="C2EA0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D81737"/>
    <w:multiLevelType w:val="hybridMultilevel"/>
    <w:tmpl w:val="AAAE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F704CF"/>
    <w:multiLevelType w:val="hybridMultilevel"/>
    <w:tmpl w:val="3444A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53252E"/>
    <w:multiLevelType w:val="hybridMultilevel"/>
    <w:tmpl w:val="140C5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ED2466"/>
    <w:multiLevelType w:val="hybridMultilevel"/>
    <w:tmpl w:val="B7407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4234CF"/>
    <w:multiLevelType w:val="hybridMultilevel"/>
    <w:tmpl w:val="5166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9E697A"/>
    <w:multiLevelType w:val="hybridMultilevel"/>
    <w:tmpl w:val="82903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9E36F9"/>
    <w:multiLevelType w:val="hybridMultilevel"/>
    <w:tmpl w:val="774E5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8A3B9E"/>
    <w:multiLevelType w:val="hybridMultilevel"/>
    <w:tmpl w:val="B0A41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4E0767"/>
    <w:multiLevelType w:val="hybridMultilevel"/>
    <w:tmpl w:val="1A6854BC"/>
    <w:lvl w:ilvl="0" w:tplc="382C68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071763"/>
    <w:multiLevelType w:val="hybridMultilevel"/>
    <w:tmpl w:val="C6D68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360DCE"/>
    <w:multiLevelType w:val="hybridMultilevel"/>
    <w:tmpl w:val="7DB4F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6"/>
  </w:num>
  <w:num w:numId="9">
    <w:abstractNumId w:val="13"/>
  </w:num>
  <w:num w:numId="10">
    <w:abstractNumId w:val="0"/>
  </w:num>
  <w:num w:numId="11">
    <w:abstractNumId w:val="5"/>
  </w:num>
  <w:num w:numId="12">
    <w:abstractNumId w:val="14"/>
  </w:num>
  <w:num w:numId="13">
    <w:abstractNumId w:val="7"/>
  </w:num>
  <w:num w:numId="14">
    <w:abstractNumId w:val="12"/>
  </w:num>
  <w:num w:numId="15">
    <w:abstractNumId w:val="15"/>
  </w:num>
  <w:num w:numId="16">
    <w:abstractNumId w:val="3"/>
  </w:num>
  <w:num w:numId="17">
    <w:abstractNumId w:val="23"/>
  </w:num>
  <w:num w:numId="18">
    <w:abstractNumId w:val="17"/>
  </w:num>
  <w:num w:numId="19">
    <w:abstractNumId w:val="20"/>
  </w:num>
  <w:num w:numId="20">
    <w:abstractNumId w:val="21"/>
  </w:num>
  <w:num w:numId="21">
    <w:abstractNumId w:val="24"/>
  </w:num>
  <w:num w:numId="22">
    <w:abstractNumId w:val="18"/>
  </w:num>
  <w:num w:numId="23">
    <w:abstractNumId w:val="19"/>
  </w:num>
  <w:num w:numId="24">
    <w:abstractNumId w:val="22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E9C"/>
    <w:rsid w:val="0006204C"/>
    <w:rsid w:val="000829B7"/>
    <w:rsid w:val="000A6499"/>
    <w:rsid w:val="000E0F45"/>
    <w:rsid w:val="000E2821"/>
    <w:rsid w:val="001263E5"/>
    <w:rsid w:val="00165890"/>
    <w:rsid w:val="0017783A"/>
    <w:rsid w:val="001A4EAB"/>
    <w:rsid w:val="002034A1"/>
    <w:rsid w:val="00254540"/>
    <w:rsid w:val="002B1126"/>
    <w:rsid w:val="002C7665"/>
    <w:rsid w:val="002F2434"/>
    <w:rsid w:val="00305443"/>
    <w:rsid w:val="00356FBE"/>
    <w:rsid w:val="00361066"/>
    <w:rsid w:val="00380578"/>
    <w:rsid w:val="00387A64"/>
    <w:rsid w:val="003A74D8"/>
    <w:rsid w:val="003B6DC6"/>
    <w:rsid w:val="0042245E"/>
    <w:rsid w:val="004735D0"/>
    <w:rsid w:val="00493CEC"/>
    <w:rsid w:val="004A701B"/>
    <w:rsid w:val="004B6ADE"/>
    <w:rsid w:val="005505EF"/>
    <w:rsid w:val="00576B74"/>
    <w:rsid w:val="00590119"/>
    <w:rsid w:val="005D37CF"/>
    <w:rsid w:val="005D760D"/>
    <w:rsid w:val="0064711A"/>
    <w:rsid w:val="006707E1"/>
    <w:rsid w:val="006F214E"/>
    <w:rsid w:val="007C13AD"/>
    <w:rsid w:val="007E1AD7"/>
    <w:rsid w:val="007E463F"/>
    <w:rsid w:val="00810E3F"/>
    <w:rsid w:val="00814D01"/>
    <w:rsid w:val="00823DF1"/>
    <w:rsid w:val="00837C81"/>
    <w:rsid w:val="00845DF2"/>
    <w:rsid w:val="0084628C"/>
    <w:rsid w:val="0084691D"/>
    <w:rsid w:val="00851197"/>
    <w:rsid w:val="00857479"/>
    <w:rsid w:val="00883E16"/>
    <w:rsid w:val="008A327A"/>
    <w:rsid w:val="008D4FE8"/>
    <w:rsid w:val="008D739F"/>
    <w:rsid w:val="00921E07"/>
    <w:rsid w:val="00962F52"/>
    <w:rsid w:val="009757CC"/>
    <w:rsid w:val="00997BA6"/>
    <w:rsid w:val="009B1C45"/>
    <w:rsid w:val="009B4A1E"/>
    <w:rsid w:val="009E4D3C"/>
    <w:rsid w:val="009F6773"/>
    <w:rsid w:val="00A00760"/>
    <w:rsid w:val="00A12728"/>
    <w:rsid w:val="00A561A9"/>
    <w:rsid w:val="00A74B65"/>
    <w:rsid w:val="00A815AA"/>
    <w:rsid w:val="00AA2506"/>
    <w:rsid w:val="00AA5A57"/>
    <w:rsid w:val="00AF0183"/>
    <w:rsid w:val="00AF2DB2"/>
    <w:rsid w:val="00BB2686"/>
    <w:rsid w:val="00BE2630"/>
    <w:rsid w:val="00BF7180"/>
    <w:rsid w:val="00C62DFA"/>
    <w:rsid w:val="00C71871"/>
    <w:rsid w:val="00CC305F"/>
    <w:rsid w:val="00CD6F8A"/>
    <w:rsid w:val="00CF4E9C"/>
    <w:rsid w:val="00D164EA"/>
    <w:rsid w:val="00D47475"/>
    <w:rsid w:val="00D760D9"/>
    <w:rsid w:val="00D767E6"/>
    <w:rsid w:val="00DB0E94"/>
    <w:rsid w:val="00DB560C"/>
    <w:rsid w:val="00E02027"/>
    <w:rsid w:val="00E17EAA"/>
    <w:rsid w:val="00E223A5"/>
    <w:rsid w:val="00E24334"/>
    <w:rsid w:val="00E74F51"/>
    <w:rsid w:val="00E81596"/>
    <w:rsid w:val="00EE1A7E"/>
    <w:rsid w:val="00F24527"/>
    <w:rsid w:val="00F77EB0"/>
    <w:rsid w:val="00F90738"/>
    <w:rsid w:val="00F9234D"/>
    <w:rsid w:val="00F9352D"/>
    <w:rsid w:val="00F93BB4"/>
    <w:rsid w:val="00F9695A"/>
    <w:rsid w:val="00FA3838"/>
    <w:rsid w:val="00FA3E9C"/>
    <w:rsid w:val="00FB294F"/>
    <w:rsid w:val="00FB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CF154D9C-3778-477D-ABEF-46178A10D5A1}"/>
  <w:documentProtection w:edit="forms" w:enforcement="true" w:cryptProviderType="rsaFull" w:cryptAlgorithmClass="hash" w:cryptAlgorithmType="typeAny" w:cryptAlgorithmSid="4" w:cryptSpinCount="50000" w:hash="/P5krfeSdIy50MCca2ep23pmAcs=" w:salt="6ZTYOB03EncbucmQrCJ5+A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it-IT" w:eastAsia="it-IT" w:bidi="it-IT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E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4E9C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CF4E9C"/>
  </w:style>
  <w:style w:type="paragraph" w:styleId="Footer">
    <w:name w:val="footer"/>
    <w:basedOn w:val="Normal"/>
    <w:link w:val="FooterChar"/>
    <w:uiPriority w:val="99"/>
    <w:unhideWhenUsed/>
    <w:rsid w:val="00CF4E9C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CF4E9C"/>
  </w:style>
  <w:style w:type="table" w:styleId="TableGrid">
    <w:name w:val="Table Grid"/>
    <w:basedOn w:val="TableNormal"/>
    <w:uiPriority w:val="59"/>
    <w:rsid w:val="00CF4E9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4E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EA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EA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B11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12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12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1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126"/>
    <w:rPr>
      <w:b/>
      <w:bCs/>
    </w:rPr>
  </w:style>
  <w:style w:type="paragraph" w:styleId="Revision">
    <w:name w:val="Revision"/>
    <w:hidden/>
    <w:uiPriority w:val="99"/>
    <w:semiHidden/>
    <w:rsid w:val="002B1126"/>
    <w:pPr>
      <w:spacing w:before="0"/>
      <w:jc w:val="left"/>
    </w:pPr>
  </w:style>
  <w:style w:type="character" w:customStyle="1" w:styleId="LogoportDoNotTranslate">
    <w:name w:val="LogoportDoNotTranslate"/>
    <w:basedOn w:val="DefaultParagraphFont"/>
    <w:rsid w:val="00D767E6"/>
    <w:rPr>
      <w:rFonts w:ascii="Courier New" w:hAnsi="Courier New" w:cs="Courier New"/>
      <w:b w:val="0"/>
      <w:color w:val="808080"/>
      <w:sz w:val="18"/>
      <w:szCs w:val="36"/>
    </w:rPr>
  </w:style>
  <w:style w:type="character" w:customStyle="1" w:styleId="LogoportMarkup">
    <w:name w:val="LogoportMarkup"/>
    <w:basedOn w:val="DefaultParagraphFont"/>
    <w:rsid w:val="00D767E6"/>
    <w:rPr>
      <w:rFonts w:ascii="Courier New" w:hAnsi="Courier New" w:cs="Courier New"/>
      <w:b w:val="0"/>
      <w:color w:val="FF0000"/>
      <w:sz w:val="1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2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3CBE26B4809B48B6FDD40945FAE36D" ma:contentTypeVersion="1" ma:contentTypeDescription="Create a new document." ma:contentTypeScope="" ma:versionID="c8ff207410a71e57fb3aceb19d6e4345">
  <xsd:schema xmlns:xsd="http://www.w3.org/2001/XMLSchema" xmlns:xs="http://www.w3.org/2001/XMLSchema" xmlns:p="http://schemas.microsoft.com/office/2006/metadata/properties" xmlns:ns3="230e9df3-be65-4c73-a93b-d1236ebd677e" xmlns:ns4="452e1114-74f1-45d8-9bf6-76ca7629084e" targetNamespace="http://schemas.microsoft.com/office/2006/metadata/properties" ma:root="true" ma:fieldsID="82c80b5bb567105c0f0d7b2fba03a6ad" ns3:_="" ns4:_="">
    <xsd:import namespace="230e9df3-be65-4c73-a93b-d1236ebd677e"/>
    <xsd:import namespace="452e1114-74f1-45d8-9bf6-76ca7629084e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3:TaxCatchAllLabel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e385fb40-52d4-4fae-9c5b-3e8ff8a5878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5bd4417-ae62-4ca1-ac11-a7df9af4aa7d}" ma:internalName="TaxCatchAll" ma:showField="CatchAllData" ma:web="452e1114-74f1-45d8-9bf6-76ca762908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5bd4417-ae62-4ca1-ac11-a7df9af4aa7d}" ma:internalName="TaxCatchAllLabel" ma:readOnly="true" ma:showField="CatchAllDataLabel" ma:web="452e1114-74f1-45d8-9bf6-76ca762908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e1114-74f1-45d8-9bf6-76ca7629084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30e9df3-be65-4c73-a93b-d1236ebd677e">
      <Terms xmlns="http://schemas.microsoft.com/office/infopath/2007/PartnerControls"/>
    </TaxKeywordTaxHTField>
    <TaxCatchAll xmlns="230e9df3-be65-4c73-a93b-d1236ebd677e"/>
  </documentManagement>
</p:properties>
</file>

<file path=customXml/itemProps1.xml><?xml version="1.0" encoding="utf-8"?>
<ds:datastoreItem xmlns:ds="http://schemas.openxmlformats.org/officeDocument/2006/customXml" ds:itemID="{4B16B83B-EBBD-469A-ADA1-BA8B76AEA1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7AE154-7E54-4494-A60B-7E9023D82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e9df3-be65-4c73-a93b-d1236ebd677e"/>
    <ds:schemaRef ds:uri="452e1114-74f1-45d8-9bf6-76ca762908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2768FF-E4F0-4EB2-AFE0-E10521E886F3}">
  <ds:schemaRefs>
    <ds:schemaRef ds:uri="http://schemas.microsoft.com/office/2006/metadata/properties"/>
    <ds:schemaRef ds:uri="http://schemas.microsoft.com/office/infopath/2007/PartnerControls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Xtreme Consulting Group, Inc.</Company>
  <LinksUpToDate>false</LinksUpToDate>
  <CharactersWithSpaces>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Alexandra Myles (Inviso)</cp:lastModifiedBy>
  <cp:revision>47</cp:revision>
  <cp:lastPrinted>2014-09-29T18:18:00Z</cp:lastPrinted>
  <dcterms:created xsi:type="dcterms:W3CDTF">2014-09-05T03:56:00Z</dcterms:created>
  <dcterms:modified xsi:type="dcterms:W3CDTF">2014-10-07T18:29:00Z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3014e742-e357-48ab-90db-c29bcec68fbb</vt:lpwstr>
  </property>
  <property fmtid="{D5CDD505-2E9C-101B-9397-08002B2CF9AE}" pid="3" name="ContentTypeId">
    <vt:lpwstr>0x010100163CBE26B4809B48B6FDD40945FAE36D</vt:lpwstr>
  </property>
  <property fmtid="{D5CDD505-2E9C-101B-9397-08002B2CF9AE}" pid="4" name="TemplateUrl">
    <vt:lpwstr/>
  </property>
  <property fmtid="{D5CDD505-2E9C-101B-9397-08002B2CF9AE}" pid="5" name="Order">
    <vt:r8>12113900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IsMyDocuments">
    <vt:bool>true</vt:bool>
  </property>
  <property fmtid="{D5CDD505-2E9C-101B-9397-08002B2CF9AE}" pid="11" name="TaxKeyword">
    <vt:lpwstr/>
  </property>
</Properties>
</file>