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87" w:rsidRDefault="009A4D87" w:rsidP="009A4D87">
      <w:pPr>
        <w:spacing w:before="240"/>
        <w:jc w:val="left"/>
        <w:rPr>
          <w:color w:val="000000"/>
          <w:sz w:val="36"/>
          <w:lang w:val="lv-LV"/>
        </w:rPr>
        <w:sectPr w:rsidR="009A4D87" w:rsidSect="004C634B">
          <w:headerReference w:type="default" r:id="rId6"/>
          <w:footerReference w:type="default" r:id="rId7"/>
          <w:headerReference w:type="first" r:id="rId8"/>
          <w:footerReference w:type="first" r:id="rId9"/>
          <w:pgSz w:w="11907" w:h="16839" w:code="9"/>
          <w:pgMar w:top="1440" w:right="1440" w:bottom="1440" w:left="1440" w:header="576" w:footer="432" w:gutter="0"/>
          <w:cols w:space="720"/>
          <w:titlePg/>
          <w:docGrid w:linePitch="360"/>
        </w:sectPr>
      </w:pPr>
      <w:bookmarkStart w:id="0" w:name="_GoBack"/>
      <w:bookmarkEnd w:id="0"/>
      <w:r w:rsidRPr="00923DAF">
        <w:rPr>
          <w:color w:val="000000"/>
          <w:sz w:val="36"/>
          <w:lang w:val="lv-LV"/>
        </w:rPr>
        <w:t>Microsoft valsts iestādes piemērotības definīcija (EMEA)</w:t>
      </w:r>
    </w:p>
    <w:p w:rsidR="009A4D87" w:rsidRPr="00923DAF" w:rsidRDefault="009A4D87" w:rsidP="009A4D87">
      <w:pPr>
        <w:spacing w:before="360" w:after="120"/>
      </w:pPr>
      <w:r w:rsidRPr="00923DAF">
        <w:rPr>
          <w:lang w:val="lv-LV"/>
        </w:rPr>
        <w:lastRenderedPageBreak/>
        <w:t>Sabiedriskā sektora iestādes, kas atbilst tālāk definētajām un aprakstītajām kategorijām vai kritērijiem, var piedalīties Microsoft lielapjoma licencēšanas programmās, kuras ir īpaši paredzētas valsts iestādēm (</w:t>
      </w:r>
      <w:r>
        <w:rPr>
          <w:lang w:val="lv-LV"/>
        </w:rPr>
        <w:t>„</w:t>
      </w:r>
      <w:r w:rsidRPr="00923DAF">
        <w:rPr>
          <w:lang w:val="lv-LV"/>
        </w:rPr>
        <w:t>kvalificētas iestādes”).</w:t>
      </w:r>
      <w:r>
        <w:t xml:space="preserve"> </w:t>
      </w:r>
      <w:r>
        <w:rPr>
          <w:lang w:val="lv-LV"/>
        </w:rPr>
        <w:t>„</w:t>
      </w:r>
      <w:r w:rsidRPr="00923DAF">
        <w:rPr>
          <w:lang w:val="lv-LV"/>
        </w:rPr>
        <w:t>Kvalificēta iestāde” ir jebkura bezpeļņas organizācija, kas atbilst kādai no turpmāk aprakstītajām kategorijām.</w:t>
      </w:r>
      <w: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1"/>
        <w:gridCol w:w="6078"/>
      </w:tblGrid>
      <w:tr w:rsidR="009A4D87" w:rsidRPr="00923DAF" w:rsidTr="006A7786">
        <w:trPr>
          <w:cantSplit/>
          <w:tblHeader/>
          <w:jc w:val="center"/>
        </w:trPr>
        <w:tc>
          <w:tcPr>
            <w:tcW w:w="9029" w:type="dxa"/>
            <w:gridSpan w:val="2"/>
            <w:shd w:val="clear" w:color="auto" w:fill="000000"/>
          </w:tcPr>
          <w:p w:rsidR="009A4D87" w:rsidRPr="00923DAF" w:rsidRDefault="009A4D87" w:rsidP="006A7786">
            <w:pPr>
              <w:keepNext/>
              <w:spacing w:after="120"/>
              <w:rPr>
                <w:b/>
                <w:bCs/>
                <w:color w:val="FFFFFF"/>
              </w:rPr>
            </w:pPr>
            <w:r w:rsidRPr="00923DAF">
              <w:rPr>
                <w:b/>
                <w:bCs/>
                <w:color w:val="FFFFFF"/>
                <w:lang w:val="lv-LV"/>
              </w:rPr>
              <w:t>Kategorijas</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lang w:val="lv-LV"/>
              </w:rPr>
              <w:t>A. Virsnacionāla</w:t>
            </w:r>
          </w:p>
        </w:tc>
        <w:tc>
          <w:tcPr>
            <w:tcW w:w="6688" w:type="dxa"/>
            <w:vAlign w:val="center"/>
          </w:tcPr>
          <w:p w:rsidR="009A4D87" w:rsidRPr="00923DAF" w:rsidRDefault="009A4D87" w:rsidP="006A7786">
            <w:pPr>
              <w:spacing w:after="120"/>
            </w:pPr>
            <w:r w:rsidRPr="00923DAF">
              <w:rPr>
                <w:lang w:val="lv-LV"/>
              </w:rPr>
              <w:t>Visas organizācijas/iestādes, kurām ir būtiskas reglamentējošas vai likumdevēja pilnvaras vairāku valstu valdībās.</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bCs/>
                <w:lang w:val="lv-LV"/>
              </w:rPr>
              <w:t>B. Valsts/federālā</w:t>
            </w:r>
          </w:p>
        </w:tc>
        <w:tc>
          <w:tcPr>
            <w:tcW w:w="6688" w:type="dxa"/>
            <w:vAlign w:val="center"/>
          </w:tcPr>
          <w:p w:rsidR="009A4D87" w:rsidRPr="00923DAF" w:rsidRDefault="009A4D87" w:rsidP="006A7786">
            <w:pPr>
              <w:spacing w:after="120"/>
            </w:pPr>
            <w:r w:rsidRPr="00923DAF">
              <w:rPr>
                <w:lang w:val="lv-LV"/>
              </w:rPr>
              <w:t>Visas valsts organizācijas/iestādes, kas tiek pārvaldītas federālā/valsts līmenī un kuru pienākums ir valsts pārvalde.</w:t>
            </w:r>
            <w:r>
              <w:t xml:space="preserve"> </w:t>
            </w:r>
            <w:r w:rsidRPr="00923DAF">
              <w:rPr>
                <w:lang w:val="lv-LV"/>
              </w:rPr>
              <w:t>Tās ir arī parlamentārās institūcijas un tiesu institūcijas ar likuma varas izveides un lēmumu pieņemšanas pilnvarām.</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lang w:val="lv-LV"/>
              </w:rPr>
              <w:t>C. Reģionālā/štata/provinces</w:t>
            </w:r>
          </w:p>
        </w:tc>
        <w:tc>
          <w:tcPr>
            <w:tcW w:w="6688" w:type="dxa"/>
            <w:vAlign w:val="center"/>
          </w:tcPr>
          <w:p w:rsidR="009A4D87" w:rsidRPr="00923DAF" w:rsidRDefault="009A4D87" w:rsidP="006A7786">
            <w:pPr>
              <w:spacing w:after="120"/>
            </w:pPr>
            <w:r w:rsidRPr="00923DAF">
              <w:rPr>
                <w:lang w:val="lv-LV"/>
              </w:rPr>
              <w:t>Vidējā līmeņa Valsts iestādes, kas nav atbildīgas par visu valsti, bet to pārvaldes jurisdikcijā ietilpst vairākas pašvaldības.</w:t>
            </w:r>
            <w:r w:rsidRPr="00923DAF">
              <w:t xml:space="preserve"> </w:t>
            </w:r>
            <w:r w:rsidRPr="00923DAF">
              <w:rPr>
                <w:lang w:val="lv-LV"/>
              </w:rPr>
              <w:t>Tās ir arī (1) visas valsts organizācijas/iestādes, kas tiek pārvaldītas administratīvā apgabala/reģiona līmenī, piemēram,</w:t>
            </w:r>
            <w:r w:rsidRPr="00923DAF">
              <w:t xml:space="preserve"> </w:t>
            </w:r>
            <w:r w:rsidRPr="00923DAF">
              <w:rPr>
                <w:lang w:val="lv-LV"/>
              </w:rPr>
              <w:t>reģionos, departamentos, štatos, zemēs, apgabalos vai provincēs, un</w:t>
            </w:r>
            <w:r>
              <w:rPr>
                <w:lang w:val="lv-LV"/>
              </w:rPr>
              <w:t> </w:t>
            </w:r>
            <w:r w:rsidRPr="00923DAF">
              <w:rPr>
                <w:lang w:val="lv-LV"/>
              </w:rPr>
              <w:t>(2)</w:t>
            </w:r>
            <w:r>
              <w:rPr>
                <w:lang w:val="lv-LV"/>
              </w:rPr>
              <w:t> </w:t>
            </w:r>
            <w:r w:rsidRPr="00923DAF">
              <w:rPr>
                <w:lang w:val="lv-LV"/>
              </w:rPr>
              <w:t>visas struktūrvienības, parlamentārās institūcijas, reglamentējošās iestādes un tiesu institūcijas ar likuma varas izveides un lēmumu pieņemšanas pilnvarām šajā reģionā, departamentā, štatā, zemē, apgabalā vai provincē.</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lang w:val="lv-LV"/>
              </w:rPr>
              <w:t>D. Vietējā/pašvaldības</w:t>
            </w:r>
          </w:p>
        </w:tc>
        <w:tc>
          <w:tcPr>
            <w:tcW w:w="6688" w:type="dxa"/>
            <w:vAlign w:val="center"/>
          </w:tcPr>
          <w:p w:rsidR="009A4D87" w:rsidRPr="00923DAF" w:rsidRDefault="009A4D87" w:rsidP="006A7786">
            <w:pPr>
              <w:spacing w:after="120"/>
            </w:pPr>
            <w:r w:rsidRPr="00923DAF">
              <w:rPr>
                <w:lang w:val="lv-LV"/>
              </w:rPr>
              <w:t>Valsts un saistītās administrācijas zemākā līmeņa iestādes.</w:t>
            </w:r>
            <w:r w:rsidRPr="00923DAF">
              <w:t xml:space="preserve"> </w:t>
            </w:r>
            <w:r w:rsidRPr="00923DAF">
              <w:rPr>
                <w:lang w:val="lv-LV"/>
              </w:rPr>
              <w:t>Tās ir arī visas valsts organizācijas/iestādes, kas tiek pārvaldītas lielpilsētas, pilsētas, rajona, pašvaldības, ciema, štata apgabala rajona, kopienas un pilsētas administratīvā rajona līmenī (piem., rekreācija, atkritumu vākšana, ugunsdzēsība, vietējo pakalpojumu pārraudzība un dažu valsts līmeņa pakalpojumu ieviešana).</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bCs/>
                <w:lang w:val="lv-LV"/>
              </w:rPr>
              <w:t>E. Veselības aprūpe</w:t>
            </w:r>
          </w:p>
        </w:tc>
        <w:tc>
          <w:tcPr>
            <w:tcW w:w="6688" w:type="dxa"/>
            <w:vAlign w:val="center"/>
          </w:tcPr>
          <w:p w:rsidR="009A4D87" w:rsidRPr="00923DAF" w:rsidRDefault="009A4D87" w:rsidP="006A7786">
            <w:pPr>
              <w:spacing w:after="120"/>
            </w:pPr>
            <w:r w:rsidRPr="00923DAF">
              <w:rPr>
                <w:lang w:val="lv-LV"/>
              </w:rPr>
              <w:t>Visas valsts organizācijas/iestādes, kas nodrošina veselības aprūpes pakalpojumus un veselības apdrošināšanu, nosaka valsts veselības aprūpes politiku vai pieņem lēmumus saistībā ar to, nodrošina veselības aprūpes pakalpojumu un veselības apdrošināšanu finansējumu vai darbojas kā veselības aprūpes pakalpojumu un veselības apdrošināšanu reglamentējošā institūcija.</w:t>
            </w:r>
          </w:p>
        </w:tc>
      </w:tr>
      <w:tr w:rsidR="009A4D87" w:rsidRPr="00923DAF" w:rsidTr="006A7786">
        <w:trPr>
          <w:cantSplit/>
          <w:tblHeader/>
          <w:jc w:val="center"/>
        </w:trPr>
        <w:tc>
          <w:tcPr>
            <w:tcW w:w="2341" w:type="dxa"/>
            <w:vAlign w:val="center"/>
          </w:tcPr>
          <w:p w:rsidR="009A4D87" w:rsidRPr="00923DAF" w:rsidRDefault="009A4D87" w:rsidP="006A7786">
            <w:pPr>
              <w:spacing w:after="120"/>
              <w:jc w:val="left"/>
              <w:rPr>
                <w:b/>
                <w:bCs/>
              </w:rPr>
            </w:pPr>
            <w:r w:rsidRPr="00923DAF">
              <w:rPr>
                <w:b/>
                <w:bCs/>
                <w:lang w:val="lv-LV"/>
              </w:rPr>
              <w:t>F. Citas valsts iestādes</w:t>
            </w:r>
          </w:p>
        </w:tc>
        <w:tc>
          <w:tcPr>
            <w:tcW w:w="6688" w:type="dxa"/>
            <w:vAlign w:val="center"/>
          </w:tcPr>
          <w:p w:rsidR="009A4D87" w:rsidRPr="00923DAF" w:rsidRDefault="009A4D87" w:rsidP="006A7786">
            <w:pPr>
              <w:spacing w:after="120"/>
            </w:pPr>
            <w:r w:rsidRPr="00923DAF">
              <w:rPr>
                <w:lang w:val="lv-LV"/>
              </w:rPr>
              <w:t>Visas iestādes, kas ir atbildīgas tikai par starptautiski atzītas Valsts valdību un to kontrolē tikai šī valdība.</w:t>
            </w:r>
          </w:p>
          <w:p w:rsidR="009A4D87" w:rsidRPr="00923DAF" w:rsidRDefault="009A4D87" w:rsidP="006A7786">
            <w:pPr>
              <w:spacing w:before="0" w:after="120"/>
            </w:pPr>
            <w:r w:rsidRPr="00923DAF">
              <w:rPr>
                <w:lang w:val="lv-LV"/>
              </w:rPr>
              <w:t>Visas iestādes, kas izveidotas saskaņā ar likumdošanu, lai darbotos valsts līmenī, kā tas aprakstīts attiecīgajos tiesību aktos par ārkārtēju pilnvaru piešķiršanu vai šo iestāžu korporāciju/mērķu statūtos (piem., likumā noteiktās padomes, pašvaldību uzņēmumi, valsts izpētes iestādes).</w:t>
            </w:r>
            <w:r w:rsidRPr="00923DAF">
              <w:t xml:space="preserve"> </w:t>
            </w:r>
          </w:p>
        </w:tc>
      </w:tr>
    </w:tbl>
    <w:p w:rsidR="009A4D87" w:rsidRPr="00923DAF" w:rsidRDefault="009A4D87" w:rsidP="009A4D87">
      <w:r w:rsidRPr="00923DAF">
        <w:rPr>
          <w:lang w:val="lv-LV"/>
        </w:rPr>
        <w:t>Ja iestāde atbilst kādai no iepriekš minētājām kategorijām un darbojas, lai gūtu peļņu, tiks piemēroti turpmāk aprakstītie kritēriji, lai noteiktu, vai iestāde ir kvalificēta.</w:t>
      </w:r>
    </w:p>
    <w:p w:rsidR="009A4D87" w:rsidRPr="00923DAF" w:rsidRDefault="009A4D87" w:rsidP="009A4D87">
      <w:pPr>
        <w:pStyle w:val="Sarakstarindkopa"/>
        <w:numPr>
          <w:ilvl w:val="0"/>
          <w:numId w:val="1"/>
        </w:numPr>
        <w:ind w:left="1080"/>
        <w:contextualSpacing w:val="0"/>
      </w:pPr>
      <w:r w:rsidRPr="00923DAF">
        <w:rPr>
          <w:lang w:val="lv-LV"/>
        </w:rPr>
        <w:t>Vai ieņēmumus/peļņu saņem tikai valsts (vai to saņem arī privāti akciju turētāji)?</w:t>
      </w:r>
    </w:p>
    <w:p w:rsidR="009A4D87" w:rsidRPr="00923DAF" w:rsidRDefault="009A4D87" w:rsidP="009A4D87">
      <w:pPr>
        <w:pStyle w:val="Sarakstarindkopa"/>
        <w:numPr>
          <w:ilvl w:val="0"/>
          <w:numId w:val="1"/>
        </w:numPr>
        <w:ind w:left="1080"/>
        <w:contextualSpacing w:val="0"/>
      </w:pPr>
      <w:r w:rsidRPr="00923DAF">
        <w:rPr>
          <w:lang w:val="lv-LV"/>
        </w:rPr>
        <w:t>Vai attiecīgā iestāde ir atbrīvota no uzņēmuma ienākuma nodokļa maksāšanas?</w:t>
      </w:r>
    </w:p>
    <w:p w:rsidR="009A4D87" w:rsidRPr="00923DAF" w:rsidRDefault="009A4D87" w:rsidP="009A4D87">
      <w:pPr>
        <w:pStyle w:val="Sarakstarindkopa"/>
        <w:numPr>
          <w:ilvl w:val="0"/>
          <w:numId w:val="1"/>
        </w:numPr>
        <w:ind w:left="1080"/>
        <w:contextualSpacing w:val="0"/>
      </w:pPr>
      <w:r w:rsidRPr="00923DAF">
        <w:rPr>
          <w:lang w:val="lv-LV"/>
        </w:rPr>
        <w:lastRenderedPageBreak/>
        <w:t>Vai vairāk nekā 50% finansējuma nodrošina valsts (t.i., vai mazāk kā 50% finansējuma tiek saņemti no komerciālās darbības)?</w:t>
      </w:r>
    </w:p>
    <w:p w:rsidR="009A4D87" w:rsidRPr="00923DAF" w:rsidRDefault="009A4D87" w:rsidP="009A4D87">
      <w:r w:rsidRPr="00923DAF">
        <w:rPr>
          <w:lang w:val="lv-LV"/>
        </w:rPr>
        <w:t xml:space="preserve">Ja atbilde uz visiem šiem jautājumiem ir </w:t>
      </w:r>
      <w:r>
        <w:rPr>
          <w:lang w:val="lv-LV"/>
        </w:rPr>
        <w:t>„</w:t>
      </w:r>
      <w:r w:rsidRPr="00923DAF">
        <w:rPr>
          <w:lang w:val="lv-LV"/>
        </w:rPr>
        <w:t>jā”, iestāde ir kvalificēta.</w:t>
      </w:r>
      <w:r w:rsidRPr="00923DAF">
        <w:t xml:space="preserve"> </w:t>
      </w:r>
      <w:r w:rsidRPr="00923DAF">
        <w:rPr>
          <w:lang w:val="lv-LV"/>
        </w:rPr>
        <w:t xml:space="preserve">Ja atbilde uz kādu no šiem jautājumiem ir </w:t>
      </w:r>
      <w:r>
        <w:rPr>
          <w:lang w:val="lv-LV"/>
        </w:rPr>
        <w:t>„</w:t>
      </w:r>
      <w:r w:rsidRPr="00923DAF">
        <w:rPr>
          <w:lang w:val="lv-LV"/>
        </w:rPr>
        <w:t>nē”, iestāde nav kvalificēta.</w:t>
      </w:r>
      <w:r w:rsidRPr="00923DAF">
        <w:t xml:space="preserve"> </w:t>
      </w:r>
      <w:r w:rsidRPr="00923DAF">
        <w:rPr>
          <w:lang w:val="lv-LV"/>
        </w:rPr>
        <w:t xml:space="preserve">Parasti valstij piederošas korporācijas, uzņēmumi un organizācijas (neatkarīgi no tā, vai tās ir akciju sabiedrības vai nav), kas veic komerciālu darbību (piem., telekomunikāciju nodrošināšanu, banku operācijas, pārvadājumus u.c.) </w:t>
      </w:r>
      <w:r w:rsidRPr="00920A6D">
        <w:rPr>
          <w:bCs/>
          <w:lang w:val="lv-LV"/>
        </w:rPr>
        <w:t xml:space="preserve">nevar </w:t>
      </w:r>
      <w:r w:rsidRPr="00923DAF">
        <w:rPr>
          <w:lang w:val="lv-LV"/>
        </w:rPr>
        <w:t>būt kvalificētas iestādes.</w:t>
      </w:r>
      <w:r w:rsidRPr="00923DAF">
        <w:t xml:space="preserve"> </w:t>
      </w:r>
    </w:p>
    <w:p w:rsidR="009A4D87" w:rsidRPr="00923DAF" w:rsidRDefault="009A4D87" w:rsidP="009A4D87">
      <w:r w:rsidRPr="00923DAF">
        <w:rPr>
          <w:lang w:val="lv-LV"/>
        </w:rPr>
        <w:t>Ja kādas valsts Valdība publicē sabiedriskā sektora iestāžu sarakstu, šīm iestādēm jāatbilst šajā definīcijā aprakstītajiem kritērijiem, lai tās atbilstu kvalificētas iestādes statusam.</w:t>
      </w:r>
      <w:r w:rsidRPr="00923DAF">
        <w:t xml:space="preserve"> </w:t>
      </w:r>
    </w:p>
    <w:p w:rsidR="009A4D87" w:rsidRPr="00923DAF" w:rsidRDefault="009A4D87" w:rsidP="009A4D87">
      <w:r w:rsidRPr="00923DAF">
        <w:rPr>
          <w:lang w:val="lv-LV"/>
        </w:rPr>
        <w:t>Ja organizācija zaudē kvalificētas iestādes statusu, kas ļauj turpmāk parakstīt licencēšanas līgumu, organizācija drīkst turpināt lietot kopijas, kurām ir saņēmis Licences, tomēr nedrīkst iesniegt nevienu jaunu Licenču pasūtījumu saskaņā ar Microsoft valdības licences līgumu programmām.</w:t>
      </w:r>
      <w:r w:rsidRPr="00923DAF">
        <w:t xml:space="preserve"> </w:t>
      </w:r>
    </w:p>
    <w:p w:rsidR="009A4D87" w:rsidRPr="00923DAF" w:rsidRDefault="009A4D87" w:rsidP="009A4D87">
      <w:r w:rsidRPr="00923DAF">
        <w:rPr>
          <w:lang w:val="lv-LV"/>
        </w:rPr>
        <w:t>Korporācija Microsoft konkrētas valsts kvalificētajām iestādēm piemēro apjomam atbilstošu cenu līmeni ar atlaidi, ja Microsoft lielapjoma licencēšanas dalības programmā apkopotie licences pasūtījumi ir paredzēti vismaz 15 000 darbstaciju vai kopējais punktu skaits katram produktu pūlam ir vismaz 75 000 punktu.</w:t>
      </w:r>
      <w:r>
        <w:t xml:space="preserve"> </w:t>
      </w:r>
      <w:r w:rsidRPr="00923DAF">
        <w:rPr>
          <w:lang w:val="lv-LV"/>
        </w:rPr>
        <w:t>Ja tiek ievēroti iepriekš minētie nosacījumi, šādas iestādes ir atbilstošas (1) līguma Enterprise, Enterprise Subscription, Select vai Select Plus D cenu līmenim, kā tas ir noteikts attiecīgajā Reģistrācijā vai līdzvērtīgā līgumā, un/vai (2) jebkuram citam konkrētam lielapjoma cenu līmenim ar atlaidi, kas pieejams kvalificētām iestādēm saskaņā ar Microsoft lielapjoma licencēšanas programmu.</w:t>
      </w:r>
    </w:p>
    <w:p w:rsidR="009A4D87" w:rsidRPr="00923DAF" w:rsidRDefault="009A4D87" w:rsidP="009A4D87">
      <w:r w:rsidRPr="00923DAF">
        <w:rPr>
          <w:lang w:val="lv-LV"/>
        </w:rPr>
        <w:t>Jebkurš šāds apjomam atbilstošs cenu līmenis ar atlaidi ir piemērojams tikai kvalificētām iestādēm, ja vien šis cenu līmenis ar atlaidi ir pieejams saskaņā ar Microsoft lielapjoma licencēšanas pamata programmu un līgumu.</w:t>
      </w:r>
    </w:p>
    <w:p w:rsidR="00486EC8" w:rsidRDefault="00486EC8"/>
    <w:sectPr w:rsidR="00486EC8" w:rsidSect="00CB3BFA">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0A0" w:firstRow="1" w:lastRow="0" w:firstColumn="1" w:lastColumn="0" w:noHBand="0" w:noVBand="0"/>
    </w:tblPr>
    <w:tblGrid>
      <w:gridCol w:w="4561"/>
      <w:gridCol w:w="4468"/>
    </w:tblGrid>
    <w:tr w:rsidR="004F41FA" w:rsidRPr="00DA6AB8" w:rsidTr="00CF4E9C">
      <w:trPr>
        <w:jc w:val="center"/>
      </w:trPr>
      <w:tc>
        <w:tcPr>
          <w:tcW w:w="4621" w:type="dxa"/>
        </w:tcPr>
        <w:p w:rsidR="004F41FA" w:rsidRPr="00DA6AB8" w:rsidRDefault="00C42175" w:rsidP="00AC0D0B">
          <w:pPr>
            <w:pStyle w:val="Footer"/>
            <w:rPr>
              <w:sz w:val="16"/>
              <w:szCs w:val="16"/>
            </w:rPr>
          </w:pPr>
          <w:r>
            <w:rPr>
              <w:sz w:val="16"/>
              <w:szCs w:val="16"/>
            </w:rPr>
            <w:t>GovEligibilityDef(EMEA)(LAV</w:t>
          </w:r>
          <w:r w:rsidRPr="00DA6AB8">
            <w:rPr>
              <w:sz w:val="16"/>
              <w:szCs w:val="16"/>
            </w:rPr>
            <w:t>)(Oct2012)</w:t>
          </w:r>
        </w:p>
      </w:tc>
      <w:tc>
        <w:tcPr>
          <w:tcW w:w="4622" w:type="dxa"/>
        </w:tcPr>
        <w:p w:rsidR="004F41FA" w:rsidRPr="00DA6AB8" w:rsidRDefault="00C42175" w:rsidP="00CF4E9C">
          <w:pPr>
            <w:pStyle w:val="Footer"/>
            <w:jc w:val="right"/>
            <w:rPr>
              <w:sz w:val="16"/>
              <w:szCs w:val="16"/>
            </w:rPr>
          </w:pPr>
          <w:r w:rsidRPr="00DA6AB8">
            <w:rPr>
              <w:sz w:val="16"/>
              <w:szCs w:val="16"/>
            </w:rPr>
            <w:t xml:space="preserve">Page </w:t>
          </w:r>
          <w:r w:rsidRPr="00DA6AB8">
            <w:rPr>
              <w:sz w:val="16"/>
              <w:szCs w:val="16"/>
            </w:rPr>
            <w:fldChar w:fldCharType="begin"/>
          </w:r>
          <w:r w:rsidRPr="00DA6AB8">
            <w:rPr>
              <w:sz w:val="16"/>
              <w:szCs w:val="16"/>
            </w:rPr>
            <w:instrText xml:space="preserve"> PAGE  \* Arabic  \* MERGEFORMAT </w:instrText>
          </w:r>
          <w:r w:rsidRPr="00DA6AB8">
            <w:rPr>
              <w:sz w:val="16"/>
              <w:szCs w:val="16"/>
            </w:rPr>
            <w:fldChar w:fldCharType="separate"/>
          </w:r>
          <w:r w:rsidR="009A4D87">
            <w:rPr>
              <w:noProof/>
              <w:sz w:val="16"/>
              <w:szCs w:val="16"/>
            </w:rPr>
            <w:t>2</w:t>
          </w:r>
          <w:r w:rsidRPr="00DA6AB8">
            <w:rPr>
              <w:sz w:val="16"/>
              <w:szCs w:val="16"/>
            </w:rPr>
            <w:fldChar w:fldCharType="end"/>
          </w:r>
          <w:r w:rsidRPr="00DA6AB8">
            <w:rPr>
              <w:sz w:val="16"/>
              <w:szCs w:val="16"/>
            </w:rPr>
            <w:t xml:space="preserve"> of </w:t>
          </w:r>
          <w:r>
            <w:fldChar w:fldCharType="begin"/>
          </w:r>
          <w:r>
            <w:instrText xml:space="preserve"> NUMPAGES  \* Arabic  \* MERGEFORMAT </w:instrText>
          </w:r>
          <w:r>
            <w:fldChar w:fldCharType="separate"/>
          </w:r>
          <w:r w:rsidR="009A4D87" w:rsidRPr="009A4D87">
            <w:rPr>
              <w:noProof/>
              <w:sz w:val="16"/>
              <w:szCs w:val="16"/>
            </w:rPr>
            <w:t>2</w:t>
          </w:r>
          <w:r>
            <w:rPr>
              <w:noProof/>
              <w:sz w:val="16"/>
              <w:szCs w:val="16"/>
            </w:rPr>
            <w:fldChar w:fldCharType="end"/>
          </w:r>
        </w:p>
      </w:tc>
    </w:tr>
  </w:tbl>
  <w:p w:rsidR="004F41FA" w:rsidRPr="00CF4E9C" w:rsidRDefault="00C42175">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0A0" w:firstRow="1" w:lastRow="0" w:firstColumn="1" w:lastColumn="0" w:noHBand="0" w:noVBand="0"/>
    </w:tblPr>
    <w:tblGrid>
      <w:gridCol w:w="4561"/>
      <w:gridCol w:w="4468"/>
    </w:tblGrid>
    <w:tr w:rsidR="004F41FA" w:rsidRPr="00DA6AB8" w:rsidTr="00997BA6">
      <w:trPr>
        <w:jc w:val="center"/>
      </w:trPr>
      <w:tc>
        <w:tcPr>
          <w:tcW w:w="4621" w:type="dxa"/>
        </w:tcPr>
        <w:p w:rsidR="004F41FA" w:rsidRPr="00DA6AB8" w:rsidRDefault="00C42175" w:rsidP="00AC0D0B">
          <w:pPr>
            <w:pStyle w:val="Footer"/>
            <w:rPr>
              <w:sz w:val="16"/>
              <w:szCs w:val="16"/>
            </w:rPr>
          </w:pPr>
          <w:r>
            <w:rPr>
              <w:sz w:val="16"/>
              <w:szCs w:val="16"/>
            </w:rPr>
            <w:t>GovEligibilityDef(EMEA)(LAV</w:t>
          </w:r>
          <w:r w:rsidRPr="00DA6AB8">
            <w:rPr>
              <w:sz w:val="16"/>
              <w:szCs w:val="16"/>
            </w:rPr>
            <w:t>)(Oct2012)</w:t>
          </w:r>
        </w:p>
      </w:tc>
      <w:tc>
        <w:tcPr>
          <w:tcW w:w="4622" w:type="dxa"/>
        </w:tcPr>
        <w:p w:rsidR="004F41FA" w:rsidRPr="00DA6AB8" w:rsidRDefault="00C42175" w:rsidP="00997BA6">
          <w:pPr>
            <w:pStyle w:val="Footer"/>
            <w:jc w:val="right"/>
            <w:rPr>
              <w:sz w:val="16"/>
              <w:szCs w:val="16"/>
            </w:rPr>
          </w:pPr>
          <w:r w:rsidRPr="00DA6AB8">
            <w:rPr>
              <w:sz w:val="16"/>
              <w:szCs w:val="16"/>
            </w:rPr>
            <w:t xml:space="preserve">Page </w:t>
          </w:r>
          <w:r w:rsidRPr="00DA6AB8">
            <w:rPr>
              <w:sz w:val="16"/>
              <w:szCs w:val="16"/>
            </w:rPr>
            <w:fldChar w:fldCharType="begin"/>
          </w:r>
          <w:r w:rsidRPr="00DA6AB8">
            <w:rPr>
              <w:sz w:val="16"/>
              <w:szCs w:val="16"/>
            </w:rPr>
            <w:instrText xml:space="preserve"> PAGE  \* Arabic  \* MERGEFORMAT </w:instrText>
          </w:r>
          <w:r w:rsidRPr="00DA6AB8">
            <w:rPr>
              <w:sz w:val="16"/>
              <w:szCs w:val="16"/>
            </w:rPr>
            <w:fldChar w:fldCharType="separate"/>
          </w:r>
          <w:r w:rsidR="009A4D87">
            <w:rPr>
              <w:noProof/>
              <w:sz w:val="16"/>
              <w:szCs w:val="16"/>
            </w:rPr>
            <w:t>1</w:t>
          </w:r>
          <w:r w:rsidRPr="00DA6AB8">
            <w:rPr>
              <w:sz w:val="16"/>
              <w:szCs w:val="16"/>
            </w:rPr>
            <w:fldChar w:fldCharType="end"/>
          </w:r>
          <w:r w:rsidRPr="00DA6AB8">
            <w:rPr>
              <w:sz w:val="16"/>
              <w:szCs w:val="16"/>
            </w:rPr>
            <w:t xml:space="preserve"> of </w:t>
          </w:r>
          <w:r>
            <w:fldChar w:fldCharType="begin"/>
          </w:r>
          <w:r>
            <w:instrText xml:space="preserve"> NUMPAGES  \* Arabic  \* MERGEFORMAT </w:instrText>
          </w:r>
          <w:r>
            <w:fldChar w:fldCharType="separate"/>
          </w:r>
          <w:r w:rsidR="009A4D87" w:rsidRPr="009A4D87">
            <w:rPr>
              <w:noProof/>
              <w:sz w:val="16"/>
              <w:szCs w:val="16"/>
            </w:rPr>
            <w:t>1</w:t>
          </w:r>
          <w:r>
            <w:rPr>
              <w:noProof/>
              <w:sz w:val="16"/>
              <w:szCs w:val="16"/>
            </w:rPr>
            <w:fldChar w:fldCharType="end"/>
          </w:r>
        </w:p>
      </w:tc>
    </w:tr>
  </w:tbl>
  <w:p w:rsidR="004F41FA" w:rsidRPr="00E17EAA" w:rsidRDefault="00C42175">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FA" w:rsidRDefault="00C42175">
    <w:pPr>
      <w:pStyle w:val="Header"/>
    </w:pPr>
    <w:r>
      <w:rPr>
        <w:noProof/>
      </w:rPr>
      <w:drawing>
        <wp:anchor distT="0" distB="0" distL="114300" distR="114300" simplePos="0" relativeHeight="251659264" behindDoc="0" locked="0" layoutInCell="1" allowOverlap="1" wp14:anchorId="2D3339D9" wp14:editId="213EF268">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FA" w:rsidRDefault="00C42175" w:rsidP="00E17EAA">
    <w:pPr>
      <w:pStyle w:val="Header"/>
      <w:jc w:val="right"/>
    </w:pPr>
    <w:r>
      <w:rPr>
        <w:noProof/>
      </w:rPr>
      <w:drawing>
        <wp:anchor distT="0" distB="0" distL="114300" distR="114300" simplePos="0" relativeHeight="251660288" behindDoc="0" locked="0" layoutInCell="1" allowOverlap="1" wp14:anchorId="78FF954D" wp14:editId="000FB658">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5D2FBBF" wp14:editId="3A10CDEB">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kTajj/hhxFGJG5Im4YurrpQbA4=" w:salt="7YGQdI6UeaRM9yI3ReFex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87"/>
    <w:rsid w:val="00486EC8"/>
    <w:rsid w:val="009A4D87"/>
    <w:rsid w:val="00C42175"/>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87"/>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rsid w:val="009A4D87"/>
    <w:pPr>
      <w:tabs>
        <w:tab w:val="center" w:pos="4680"/>
        <w:tab w:val="right" w:pos="9360"/>
      </w:tabs>
      <w:spacing w:before="0"/>
    </w:pPr>
  </w:style>
  <w:style w:type="character" w:customStyle="1" w:styleId="HeaderChar">
    <w:name w:val="Header Char"/>
    <w:basedOn w:val="DefaultParagraphFont"/>
    <w:link w:val="Header"/>
    <w:rsid w:val="009A4D87"/>
    <w:rPr>
      <w:rFonts w:eastAsia="Times New Roman" w:cs="Arial"/>
    </w:rPr>
  </w:style>
  <w:style w:type="paragraph" w:styleId="Footer">
    <w:name w:val="footer"/>
    <w:basedOn w:val="Normal"/>
    <w:link w:val="FooterChar"/>
    <w:uiPriority w:val="99"/>
    <w:rsid w:val="009A4D87"/>
    <w:pPr>
      <w:tabs>
        <w:tab w:val="center" w:pos="4680"/>
        <w:tab w:val="right" w:pos="9360"/>
      </w:tabs>
      <w:spacing w:before="0"/>
    </w:pPr>
  </w:style>
  <w:style w:type="character" w:customStyle="1" w:styleId="FooterChar">
    <w:name w:val="Footer Char"/>
    <w:basedOn w:val="DefaultParagraphFont"/>
    <w:link w:val="Footer"/>
    <w:uiPriority w:val="99"/>
    <w:rsid w:val="009A4D87"/>
    <w:rPr>
      <w:rFonts w:eastAsia="Times New Roman" w:cs="Arial"/>
    </w:rPr>
  </w:style>
  <w:style w:type="paragraph" w:customStyle="1" w:styleId="Sarakstarindkopa">
    <w:name w:val="Saraksta rindkopa"/>
    <w:basedOn w:val="Normal"/>
    <w:rsid w:val="009A4D87"/>
    <w:pPr>
      <w:ind w:left="720"/>
      <w:contextualSpacing/>
    </w:pPr>
  </w:style>
  <w:style w:type="paragraph" w:styleId="BalloonText">
    <w:name w:val="Balloon Text"/>
    <w:basedOn w:val="Normal"/>
    <w:link w:val="BalloonTextChar"/>
    <w:uiPriority w:val="99"/>
    <w:semiHidden/>
    <w:unhideWhenUsed/>
    <w:rsid w:val="009A4D8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D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87"/>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rsid w:val="009A4D87"/>
    <w:pPr>
      <w:tabs>
        <w:tab w:val="center" w:pos="4680"/>
        <w:tab w:val="right" w:pos="9360"/>
      </w:tabs>
      <w:spacing w:before="0"/>
    </w:pPr>
  </w:style>
  <w:style w:type="character" w:customStyle="1" w:styleId="HeaderChar">
    <w:name w:val="Header Char"/>
    <w:basedOn w:val="DefaultParagraphFont"/>
    <w:link w:val="Header"/>
    <w:rsid w:val="009A4D87"/>
    <w:rPr>
      <w:rFonts w:eastAsia="Times New Roman" w:cs="Arial"/>
    </w:rPr>
  </w:style>
  <w:style w:type="paragraph" w:styleId="Footer">
    <w:name w:val="footer"/>
    <w:basedOn w:val="Normal"/>
    <w:link w:val="FooterChar"/>
    <w:uiPriority w:val="99"/>
    <w:rsid w:val="009A4D87"/>
    <w:pPr>
      <w:tabs>
        <w:tab w:val="center" w:pos="4680"/>
        <w:tab w:val="right" w:pos="9360"/>
      </w:tabs>
      <w:spacing w:before="0"/>
    </w:pPr>
  </w:style>
  <w:style w:type="character" w:customStyle="1" w:styleId="FooterChar">
    <w:name w:val="Footer Char"/>
    <w:basedOn w:val="DefaultParagraphFont"/>
    <w:link w:val="Footer"/>
    <w:uiPriority w:val="99"/>
    <w:rsid w:val="009A4D87"/>
    <w:rPr>
      <w:rFonts w:eastAsia="Times New Roman" w:cs="Arial"/>
    </w:rPr>
  </w:style>
  <w:style w:type="paragraph" w:customStyle="1" w:styleId="Sarakstarindkopa">
    <w:name w:val="Saraksta rindkopa"/>
    <w:basedOn w:val="Normal"/>
    <w:rsid w:val="009A4D87"/>
    <w:pPr>
      <w:ind w:left="720"/>
      <w:contextualSpacing/>
    </w:pPr>
  </w:style>
  <w:style w:type="paragraph" w:styleId="BalloonText">
    <w:name w:val="Balloon Text"/>
    <w:basedOn w:val="Normal"/>
    <w:link w:val="BalloonTextChar"/>
    <w:uiPriority w:val="99"/>
    <w:semiHidden/>
    <w:unhideWhenUsed/>
    <w:rsid w:val="009A4D8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D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1A1F0-45A5-4300-85EE-F5E4D3F207CC}"/>
</file>

<file path=customXml/itemProps2.xml><?xml version="1.0" encoding="utf-8"?>
<ds:datastoreItem xmlns:ds="http://schemas.openxmlformats.org/officeDocument/2006/customXml" ds:itemID="{8B558558-227D-4B91-AF93-B44A29A2E264}"/>
</file>

<file path=customXml/itemProps3.xml><?xml version="1.0" encoding="utf-8"?>
<ds:datastoreItem xmlns:ds="http://schemas.openxmlformats.org/officeDocument/2006/customXml" ds:itemID="{92DFB0E6-90BF-4269-8C1B-796C1898943A}"/>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4151</Characters>
  <Application>Microsoft Office Word</Application>
  <DocSecurity>0</DocSecurity>
  <Lines>34</Lines>
  <Paragraphs>9</Paragraphs>
  <ScaleCrop>false</ScaleCrop>
  <Company>Microsoft Corporation</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