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Pr>
          <w:sz w:val="36"/>
          <w:szCs w:val="36"/>
        </w:rPr>
        <w:t>Microsofts Definisjon av Kvalifiserende Offentlig enhet</w:t>
      </w:r>
      <w:r w:rsidR="007F4215">
        <w:rPr>
          <w:sz w:val="36"/>
          <w:szCs w:val="36"/>
        </w:rPr>
        <w:t> </w:t>
      </w:r>
      <w:r>
        <w:rPr>
          <w:sz w:val="36"/>
          <w:szCs w:val="36"/>
        </w:rPr>
        <w:t>(EMEA)</w:t>
      </w:r>
    </w:p>
    <w:p w:rsidR="00CF4E9C" w:rsidRPr="00883E16" w:rsidRDefault="002B1126" w:rsidP="00883E16">
      <w:pPr>
        <w:spacing w:before="360" w:after="120"/>
      </w:pPr>
      <w:r>
        <w:lastRenderedPageBreak/>
        <w:t>Organisasjoner i offentlig sektor som tilhører kategoriene eller oppfyller kriteriene som er angitt og beskrevet nedenfor, er kvalifisert for å delta i Microsofts volumlisensieringsprogrammer som er spesielt utformet for det offent</w:t>
      </w:r>
      <w:r w:rsidR="007F4215">
        <w:t xml:space="preserve">lige (“kvalifiserte enheter”). </w:t>
      </w:r>
      <w:r>
        <w:t xml:space="preserve">En </w:t>
      </w:r>
      <w:r w:rsidR="007F4215">
        <w:t>“</w:t>
      </w:r>
      <w:r>
        <w:t>kvalifisert enhet</w:t>
      </w:r>
      <w:r w:rsidR="007F4215">
        <w:t>”</w:t>
      </w:r>
      <w:r>
        <w:t xml:space="preserve"> betyr en hvilken som helst organisasjon som ikke har fortjenesteformål, og som passer in</w:t>
      </w:r>
      <w:r w:rsidR="007F4215">
        <w:t xml:space="preserve">n i en av følgende kategorier: </w:t>
      </w:r>
    </w:p>
    <w:tbl>
      <w:tblPr>
        <w:tblStyle w:val="TableGrid"/>
        <w:tblW w:w="9029" w:type="dxa"/>
        <w:jc w:val="center"/>
        <w:tblLook w:val="04A0" w:firstRow="1" w:lastRow="0" w:firstColumn="1" w:lastColumn="0" w:noHBand="0" w:noVBand="1"/>
      </w:tblPr>
      <w:tblGrid>
        <w:gridCol w:w="2449"/>
        <w:gridCol w:w="6580"/>
      </w:tblGrid>
      <w:tr w:rsidR="00CF4E9C" w:rsidRPr="00883E16" w:rsidTr="00165890">
        <w:trPr>
          <w:cantSplit/>
          <w:tblHeader/>
          <w:jc w:val="center"/>
        </w:trPr>
        <w:tc>
          <w:tcPr>
            <w:tcW w:w="9029" w:type="dxa"/>
            <w:gridSpan w:val="2"/>
            <w:shd w:val="clear" w:color="auto" w:fill="000000" w:themeFill="text1"/>
          </w:tcPr>
          <w:p w:rsidR="00CF4E9C" w:rsidRPr="00883E16" w:rsidRDefault="00CF4E9C" w:rsidP="00883E16">
            <w:pPr>
              <w:keepNext/>
              <w:spacing w:before="120" w:after="120"/>
              <w:rPr>
                <w:b/>
                <w:bCs/>
                <w:color w:val="FFFFFF" w:themeColor="background1"/>
              </w:rPr>
            </w:pPr>
            <w:r>
              <w:rPr>
                <w:b/>
                <w:bCs/>
                <w:color w:val="FFFFFF" w:themeColor="background1"/>
              </w:rPr>
              <w:t>Kategorier</w:t>
            </w:r>
          </w:p>
        </w:tc>
      </w:tr>
      <w:tr w:rsidR="00CF4E9C" w:rsidRPr="00883E16" w:rsidTr="00237920">
        <w:trPr>
          <w:cantSplit/>
          <w:tblHeader/>
          <w:jc w:val="center"/>
        </w:trPr>
        <w:tc>
          <w:tcPr>
            <w:tcW w:w="2449" w:type="dxa"/>
            <w:vAlign w:val="center"/>
          </w:tcPr>
          <w:p w:rsidR="00CF4E9C" w:rsidRPr="00883E16" w:rsidRDefault="00CF4E9C" w:rsidP="00883E16">
            <w:pPr>
              <w:spacing w:before="120" w:after="120"/>
              <w:jc w:val="left"/>
              <w:rPr>
                <w:b/>
                <w:bCs/>
              </w:rPr>
            </w:pPr>
            <w:r>
              <w:rPr>
                <w:b/>
                <w:bCs/>
              </w:rPr>
              <w:t>A. Overnasjonal</w:t>
            </w:r>
          </w:p>
        </w:tc>
        <w:tc>
          <w:tcPr>
            <w:tcW w:w="6580" w:type="dxa"/>
            <w:vAlign w:val="center"/>
          </w:tcPr>
          <w:p w:rsidR="00CF4E9C" w:rsidRPr="00883E16" w:rsidRDefault="00CF4E9C" w:rsidP="00883E16">
            <w:pPr>
              <w:spacing w:before="120" w:after="120"/>
            </w:pPr>
            <w:r>
              <w:t>Alle organisasjoner/institusjoner som har en særskilt rolle innen regulering eller lovgivning på tvers av mange nasjonale myndigheter.</w:t>
            </w:r>
          </w:p>
        </w:tc>
      </w:tr>
      <w:tr w:rsidR="00CF4E9C" w:rsidRPr="00883E16" w:rsidTr="00237920">
        <w:trPr>
          <w:cantSplit/>
          <w:tblHeader/>
          <w:jc w:val="center"/>
        </w:trPr>
        <w:tc>
          <w:tcPr>
            <w:tcW w:w="2449" w:type="dxa"/>
            <w:vAlign w:val="center"/>
          </w:tcPr>
          <w:p w:rsidR="00CF4E9C" w:rsidRPr="00883E16" w:rsidRDefault="00CF4E9C" w:rsidP="00883E16">
            <w:pPr>
              <w:spacing w:before="120" w:after="120"/>
              <w:jc w:val="left"/>
              <w:rPr>
                <w:b/>
                <w:bCs/>
              </w:rPr>
            </w:pPr>
            <w:r>
              <w:rPr>
                <w:b/>
                <w:bCs/>
              </w:rPr>
              <w:t>B. Nasjonal/føderal</w:t>
            </w:r>
          </w:p>
        </w:tc>
        <w:tc>
          <w:tcPr>
            <w:tcW w:w="6580" w:type="dxa"/>
            <w:vAlign w:val="center"/>
          </w:tcPr>
          <w:p w:rsidR="00CF4E9C" w:rsidRPr="00883E16" w:rsidRDefault="00CF4E9C" w:rsidP="00883E16">
            <w:pPr>
              <w:spacing w:before="120" w:after="120"/>
            </w:pPr>
            <w:r>
              <w:t>Alle offentlige organisasjoner og institusjoner som administreres på føderalt/nasjonalt nivå, og som har mandat som gjelder en hel na</w:t>
            </w:r>
            <w:r w:rsidR="007F4215">
              <w:t xml:space="preserve">sjonalstat eller et helt land. </w:t>
            </w:r>
            <w:r>
              <w:t>Dette inkluderer parlamentariske og juridiske enheter med lovgivende makt.</w:t>
            </w:r>
          </w:p>
        </w:tc>
      </w:tr>
      <w:tr w:rsidR="00CF4E9C" w:rsidRPr="00883E16" w:rsidTr="00237920">
        <w:trPr>
          <w:cantSplit/>
          <w:tblHeader/>
          <w:jc w:val="center"/>
        </w:trPr>
        <w:tc>
          <w:tcPr>
            <w:tcW w:w="2449" w:type="dxa"/>
            <w:vAlign w:val="center"/>
          </w:tcPr>
          <w:p w:rsidR="00CF4E9C" w:rsidRPr="00883E16" w:rsidRDefault="00561C12" w:rsidP="00883E16">
            <w:pPr>
              <w:spacing w:before="120" w:after="120"/>
              <w:jc w:val="left"/>
              <w:rPr>
                <w:b/>
                <w:bCs/>
              </w:rPr>
            </w:pPr>
            <w:r>
              <w:rPr>
                <w:b/>
                <w:bCs/>
              </w:rPr>
              <w:t>C. Regional/</w:t>
            </w:r>
            <w:r w:rsidR="00CF4E9C">
              <w:rPr>
                <w:b/>
                <w:bCs/>
              </w:rPr>
              <w:t>delstat</w:t>
            </w:r>
            <w:r>
              <w:rPr>
                <w:b/>
                <w:bCs/>
              </w:rPr>
              <w:t>lig/</w:t>
            </w:r>
            <w:r w:rsidR="00237920">
              <w:rPr>
                <w:b/>
                <w:bCs/>
              </w:rPr>
              <w:br/>
            </w:r>
            <w:r w:rsidR="00CF4E9C">
              <w:rPr>
                <w:b/>
                <w:bCs/>
              </w:rPr>
              <w:t>provinsiell</w:t>
            </w:r>
          </w:p>
        </w:tc>
        <w:tc>
          <w:tcPr>
            <w:tcW w:w="6580" w:type="dxa"/>
            <w:vAlign w:val="center"/>
          </w:tcPr>
          <w:p w:rsidR="00CF4E9C" w:rsidRPr="00883E16" w:rsidRDefault="00CF4E9C" w:rsidP="00883E16">
            <w:pPr>
              <w:spacing w:before="120" w:after="120"/>
            </w:pPr>
            <w:r>
              <w:t>Et mellomliggende administrasjonsnivå som ikke dekker et helt land, men som har flere områder med lokal administrasjon innen sin jurisdiksjon. Dette inkluderer (1) alle offentlige organisasjoner og institusjoner som administreres på delstatlig/regionalt nivå, og som har disse navnene: regioner, departementer, delstater, lander, fylker eller provinser, og (2) alle departementer, parlamentariske enheter, tilsynsmyndigheter og juridiske enheter med lovgivende makt i de aktuelle regioner, departementer, delstater, länder, fylker eller provinser.</w:t>
            </w:r>
          </w:p>
        </w:tc>
      </w:tr>
      <w:tr w:rsidR="00CF4E9C" w:rsidRPr="00883E16" w:rsidTr="00237920">
        <w:trPr>
          <w:cantSplit/>
          <w:tblHeader/>
          <w:jc w:val="center"/>
        </w:trPr>
        <w:tc>
          <w:tcPr>
            <w:tcW w:w="2449" w:type="dxa"/>
            <w:vAlign w:val="center"/>
          </w:tcPr>
          <w:p w:rsidR="00CF4E9C" w:rsidRPr="00883E16" w:rsidRDefault="00CF4E9C" w:rsidP="00883E16">
            <w:pPr>
              <w:spacing w:before="120" w:after="120"/>
              <w:jc w:val="left"/>
              <w:rPr>
                <w:b/>
                <w:bCs/>
              </w:rPr>
            </w:pPr>
            <w:r>
              <w:rPr>
                <w:b/>
                <w:bCs/>
              </w:rPr>
              <w:t>D. Lokal/kommunal</w:t>
            </w:r>
          </w:p>
        </w:tc>
        <w:tc>
          <w:tcPr>
            <w:tcW w:w="6580" w:type="dxa"/>
            <w:vAlign w:val="center"/>
          </w:tcPr>
          <w:p w:rsidR="00CF4E9C" w:rsidRPr="00883E16" w:rsidRDefault="00CF4E9C" w:rsidP="00883E16">
            <w:pPr>
              <w:spacing w:before="120" w:after="120"/>
            </w:pPr>
            <w:r>
              <w:t>Det laveste offentlige administrasjonsnivået. Dette inkluderer alle offentlige organisasjoner og institusjoner som administreres på by-, distrikts-, landsby-, grend-, kommune og bydelsnivå (for eksempel fritidstilbud, renovasjon, brannvesen, styring av lokale tjenester og implementering av enkelte nasjonale tjenester).</w:t>
            </w:r>
          </w:p>
        </w:tc>
      </w:tr>
      <w:tr w:rsidR="00CF4E9C" w:rsidRPr="00883E16" w:rsidTr="00237920">
        <w:trPr>
          <w:cantSplit/>
          <w:tblHeader/>
          <w:jc w:val="center"/>
        </w:trPr>
        <w:tc>
          <w:tcPr>
            <w:tcW w:w="2449" w:type="dxa"/>
            <w:vAlign w:val="center"/>
          </w:tcPr>
          <w:p w:rsidR="00CF4E9C" w:rsidRPr="00883E16" w:rsidRDefault="00CF4E9C" w:rsidP="00883E16">
            <w:pPr>
              <w:spacing w:before="120" w:after="120"/>
              <w:jc w:val="left"/>
              <w:rPr>
                <w:b/>
                <w:bCs/>
              </w:rPr>
            </w:pPr>
            <w:r>
              <w:rPr>
                <w:b/>
                <w:bCs/>
              </w:rPr>
              <w:t>E. Helsevesen</w:t>
            </w:r>
          </w:p>
        </w:tc>
        <w:tc>
          <w:tcPr>
            <w:tcW w:w="6580" w:type="dxa"/>
            <w:vAlign w:val="center"/>
          </w:tcPr>
          <w:p w:rsidR="00CF4E9C" w:rsidRPr="00883E16" w:rsidRDefault="00CF4E9C" w:rsidP="00883E16">
            <w:pPr>
              <w:spacing w:before="120" w:after="120"/>
            </w:pPr>
            <w:r>
              <w:t>Alle offentlige organisasjoner og institusjoner som tilbyr helsetjenester og -dekning, som har beslutningsmakt for helsepolitikk i en nasjonalstat eller et land, som finansierer helsetjenester og -dekning, eller som har en reguleringsmessig rolle innen helsetjenester og -dekning.</w:t>
            </w:r>
          </w:p>
        </w:tc>
      </w:tr>
      <w:tr w:rsidR="00CF4E9C" w:rsidRPr="00883E16" w:rsidTr="00237920">
        <w:trPr>
          <w:cantSplit/>
          <w:tblHeader/>
          <w:jc w:val="center"/>
        </w:trPr>
        <w:tc>
          <w:tcPr>
            <w:tcW w:w="2449" w:type="dxa"/>
            <w:vAlign w:val="center"/>
          </w:tcPr>
          <w:p w:rsidR="00CF4E9C" w:rsidRPr="00883E16" w:rsidRDefault="00CF4E9C" w:rsidP="00883E16">
            <w:pPr>
              <w:spacing w:before="120" w:after="120"/>
              <w:jc w:val="left"/>
              <w:rPr>
                <w:b/>
                <w:bCs/>
              </w:rPr>
            </w:pPr>
            <w:r>
              <w:rPr>
                <w:b/>
                <w:bCs/>
              </w:rPr>
              <w:t>F. Andre offentlige organisasjoner</w:t>
            </w:r>
          </w:p>
        </w:tc>
        <w:tc>
          <w:tcPr>
            <w:tcW w:w="6580" w:type="dxa"/>
            <w:vAlign w:val="center"/>
          </w:tcPr>
          <w:p w:rsidR="00CF4E9C" w:rsidRPr="00883E16" w:rsidRDefault="00CF4E9C" w:rsidP="00883E16">
            <w:pPr>
              <w:spacing w:before="120" w:after="120"/>
            </w:pPr>
            <w:r>
              <w:t>Alle organisasjoner som svarer for, og i siste instans styres av, en internasjonalt anerkjent nasjonalstatsregjering.</w:t>
            </w:r>
          </w:p>
          <w:p w:rsidR="00AA5A57" w:rsidRPr="00883E16" w:rsidRDefault="00AA5A57" w:rsidP="00883E16">
            <w:pPr>
              <w:spacing w:after="120"/>
            </w:pPr>
            <w:r>
              <w:t xml:space="preserve">Alle organisasjoner som er lovmessig opprettet for å utføre en offentlig oppgave i henhold til lovhjemmel eller aksjonæravtalen/målsettingene til den organisasjonen (for eksempel offentlige styrer, kommunestyrer, offentlige forskningsorganisasjoner). </w:t>
            </w:r>
          </w:p>
        </w:tc>
      </w:tr>
    </w:tbl>
    <w:p w:rsidR="00CF4E9C" w:rsidRPr="00883E16" w:rsidRDefault="00CF4E9C" w:rsidP="00883E16">
      <w:r>
        <w:t>Hvis en organisasjon passer inn i en av kategoriene ovenfor, men har fortjenesteformål, vil følgende kriterier også vurderes for å fastslå om organisasjonen er en kvalifisert enhet:</w:t>
      </w:r>
    </w:p>
    <w:p w:rsidR="00CF4E9C" w:rsidRPr="00883E16" w:rsidRDefault="00CF4E9C" w:rsidP="00883E16">
      <w:pPr>
        <w:pStyle w:val="ListParagraph"/>
        <w:numPr>
          <w:ilvl w:val="0"/>
          <w:numId w:val="1"/>
        </w:numPr>
        <w:ind w:left="1080"/>
        <w:contextualSpacing w:val="0"/>
      </w:pPr>
      <w:r>
        <w:t>Tilfaller fortjenesten/profitten utelukkende det offentlige (eller går den også til private aksjonærer)?</w:t>
      </w:r>
    </w:p>
    <w:p w:rsidR="00CF4E9C" w:rsidRPr="00883E16" w:rsidRDefault="00CF4E9C" w:rsidP="00883E16">
      <w:pPr>
        <w:pStyle w:val="ListParagraph"/>
        <w:numPr>
          <w:ilvl w:val="0"/>
          <w:numId w:val="1"/>
        </w:numPr>
        <w:ind w:left="1080"/>
        <w:contextualSpacing w:val="0"/>
      </w:pPr>
      <w:r>
        <w:t>Er den aktuelle organisasjonen fritatt for bedriftsskatt?</w:t>
      </w:r>
    </w:p>
    <w:p w:rsidR="00CF4E9C" w:rsidRPr="00883E16" w:rsidRDefault="00CF4E9C" w:rsidP="00883E16">
      <w:pPr>
        <w:pStyle w:val="ListParagraph"/>
        <w:numPr>
          <w:ilvl w:val="0"/>
          <w:numId w:val="1"/>
        </w:numPr>
        <w:ind w:left="1080"/>
        <w:contextualSpacing w:val="0"/>
      </w:pPr>
      <w:r>
        <w:t>Finansieres organisasjonen av det offentlige med mer enn 50 % (det vil si, kommer mindre enn 50 % av finansieringen fra kommersielle aktiviteter)?</w:t>
      </w:r>
    </w:p>
    <w:p w:rsidR="00CF4E9C" w:rsidRPr="00883E16" w:rsidRDefault="00CF4E9C" w:rsidP="00883E16">
      <w:r>
        <w:lastRenderedPageBreak/>
        <w:t xml:space="preserve">Hvis svaret på alle disse spørsmålene er </w:t>
      </w:r>
      <w:r w:rsidR="007F4215">
        <w:t>“</w:t>
      </w:r>
      <w:r>
        <w:t>ja</w:t>
      </w:r>
      <w:r w:rsidR="007F4215">
        <w:t>”</w:t>
      </w:r>
      <w:r>
        <w:t xml:space="preserve">, er organisasjonen en kvalifisert enhet. Hvis svaret på ett eller flere av spørsmålene ovenfor er </w:t>
      </w:r>
      <w:r w:rsidR="007F4215">
        <w:t>“</w:t>
      </w:r>
      <w:r>
        <w:t>nei</w:t>
      </w:r>
      <w:r w:rsidR="007F4215">
        <w:t>”</w:t>
      </w:r>
      <w:r>
        <w:t xml:space="preserve">, er organisasjonen ikke en kvalifisert enhet. Generelt er selskaper med offentlig eierskap, statseide foretak og offentlige organisasjoner (uavhengig av hvorvidt de er aksjeselskaper) som utfører kommersielle aktiviteter (for eksempel telekommunikasjon, banktjenester, transport osv.) ikke-kvalifiserte enheter. </w:t>
      </w:r>
    </w:p>
    <w:p w:rsidR="00CF4E9C" w:rsidRPr="00883E16" w:rsidRDefault="00CF4E9C" w:rsidP="00883E16">
      <w:r>
        <w:t xml:space="preserve">Hvis et lands myndigheter offentliggjør en liste over organisasjoner i offentlig sektor, må disse organisasjonene oppfylle kriteriene som fremsettes i denne definisjonen for å kunne anses som en kvalifisert enhet. </w:t>
      </w:r>
    </w:p>
    <w:p w:rsidR="00E24334" w:rsidRPr="00883E16" w:rsidRDefault="00E24334" w:rsidP="00883E16">
      <w:r>
        <w:t>Hvis en organisasjon mister sin status som kvalifisert offentlig enhet etter å ha undertegnet en</w:t>
      </w:r>
      <w:r w:rsidR="0041299F">
        <w:t> </w:t>
      </w:r>
      <w:r>
        <w:t>lisensavtale, kan organisasjonen fortsette å bruke eksemplarer organisasjonen har lisens for, men organisasjonen kan ikke levere en ny bestilling av Lisenser under Microsofts lisensprogrammer for det</w:t>
      </w:r>
      <w:r w:rsidR="0041299F">
        <w:t> </w:t>
      </w:r>
      <w:r>
        <w:t xml:space="preserve">offentlige. </w:t>
      </w:r>
    </w:p>
    <w:p w:rsidR="00F9352D" w:rsidRPr="00883E16" w:rsidRDefault="00A561A9" w:rsidP="000A6499">
      <w:bookmarkStart w:id="1" w:name="OLE_LINK1"/>
      <w:bookmarkStart w:id="2" w:name="OLE_LINK2"/>
      <w:r>
        <w:t>Microsoft tilbyr spesialpriser til kvalifiserte organisasjoner i offentlig sektor (som d</w:t>
      </w:r>
      <w:r w:rsidR="007F4215">
        <w:t xml:space="preserve">efinert og beskrevet ovenfor). </w:t>
      </w:r>
      <w:r>
        <w:t>Såfremt tilleggskravene til kvalifikasjon som er angitt i en bestemt volumlisensavtale, er oppfylt, er organisasjonene kvalifisert til å benytte seg av (1) prisnivå D under volumlisensprogrammene Enterprise, Enterprise Subscription, Select eller Select Plus eller (2) andre rabatter som kan være tilgjengelige under andre volumlisensprogrammer fra Microsoft.</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00C" w:rsidRDefault="00A7000C" w:rsidP="00CF4E9C">
      <w:pPr>
        <w:spacing w:before="0"/>
      </w:pPr>
      <w:r>
        <w:separator/>
      </w:r>
    </w:p>
  </w:endnote>
  <w:endnote w:type="continuationSeparator" w:id="0">
    <w:p w:rsidR="00A7000C" w:rsidRDefault="00A7000C"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440" w:rsidRDefault="007B44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7B4440" w:rsidRPr="007B4440" w:rsidTr="009D7003">
      <w:trPr>
        <w:jc w:val="center"/>
      </w:trPr>
      <w:tc>
        <w:tcPr>
          <w:tcW w:w="4621" w:type="dxa"/>
          <w:shd w:val="clear" w:color="auto" w:fill="auto"/>
        </w:tcPr>
        <w:p w:rsidR="007B4440" w:rsidRPr="007B4440" w:rsidRDefault="007B4440" w:rsidP="007B4440">
          <w:pPr>
            <w:pStyle w:val="Footer"/>
            <w:rPr>
              <w:rStyle w:val="LogoportDoNotTranslate"/>
              <w:rFonts w:ascii="Arial" w:hAnsi="Arial" w:cs="Arial"/>
              <w:color w:val="auto"/>
              <w:sz w:val="16"/>
              <w:szCs w:val="16"/>
            </w:rPr>
          </w:pPr>
          <w:r w:rsidRPr="007B4440">
            <w:rPr>
              <w:rStyle w:val="LogoportDoNotTranslate"/>
              <w:rFonts w:ascii="Arial" w:hAnsi="Arial" w:cs="Arial"/>
              <w:color w:val="auto"/>
              <w:sz w:val="16"/>
              <w:szCs w:val="16"/>
            </w:rPr>
            <w:t>GovEligibilityDef(EMEA)(NOR)(Nov2014)</w:t>
          </w:r>
        </w:p>
      </w:tc>
      <w:tc>
        <w:tcPr>
          <w:tcW w:w="4622" w:type="dxa"/>
          <w:shd w:val="clear" w:color="auto" w:fill="auto"/>
        </w:tcPr>
        <w:p w:rsidR="007B4440" w:rsidRPr="007B4440" w:rsidRDefault="007B4440" w:rsidP="007B4440">
          <w:pPr>
            <w:pStyle w:val="Footer"/>
            <w:jc w:val="right"/>
            <w:rPr>
              <w:rStyle w:val="LogoportDoNotTranslate"/>
              <w:rFonts w:ascii="Arial" w:hAnsi="Arial" w:cs="Arial"/>
              <w:color w:val="auto"/>
              <w:sz w:val="16"/>
              <w:szCs w:val="16"/>
            </w:rPr>
          </w:pPr>
          <w:r w:rsidRPr="007B4440">
            <w:rPr>
              <w:rStyle w:val="LogoportDoNotTranslate"/>
              <w:rFonts w:ascii="Arial" w:hAnsi="Arial" w:cs="Arial"/>
              <w:color w:val="auto"/>
              <w:sz w:val="16"/>
              <w:szCs w:val="16"/>
            </w:rPr>
            <w:t xml:space="preserve">Page </w:t>
          </w:r>
          <w:r w:rsidRPr="007B4440">
            <w:rPr>
              <w:rStyle w:val="LogoportDoNotTranslate"/>
              <w:rFonts w:ascii="Arial" w:hAnsi="Arial" w:cs="Arial"/>
              <w:color w:val="auto"/>
              <w:sz w:val="16"/>
              <w:szCs w:val="16"/>
            </w:rPr>
            <w:fldChar w:fldCharType="begin"/>
          </w:r>
          <w:r w:rsidRPr="007B4440">
            <w:rPr>
              <w:rStyle w:val="LogoportDoNotTranslate"/>
              <w:rFonts w:ascii="Arial" w:hAnsi="Arial" w:cs="Arial"/>
              <w:color w:val="auto"/>
              <w:sz w:val="16"/>
              <w:szCs w:val="16"/>
            </w:rPr>
            <w:instrText xml:space="preserve"> PAGE  \* MERGEFORMAT </w:instrText>
          </w:r>
          <w:r w:rsidRPr="007B4440">
            <w:rPr>
              <w:rStyle w:val="LogoportDoNotTranslate"/>
              <w:rFonts w:ascii="Arial" w:hAnsi="Arial" w:cs="Arial"/>
              <w:color w:val="auto"/>
              <w:sz w:val="16"/>
              <w:szCs w:val="16"/>
            </w:rPr>
            <w:fldChar w:fldCharType="separate"/>
          </w:r>
          <w:r w:rsidR="00682261">
            <w:rPr>
              <w:rStyle w:val="LogoportDoNotTranslate"/>
              <w:rFonts w:ascii="Arial" w:hAnsi="Arial" w:cs="Arial"/>
              <w:noProof/>
              <w:color w:val="auto"/>
              <w:sz w:val="16"/>
              <w:szCs w:val="16"/>
            </w:rPr>
            <w:t>2</w:t>
          </w:r>
          <w:r w:rsidRPr="007B4440">
            <w:rPr>
              <w:rStyle w:val="LogoportDoNotTranslate"/>
              <w:rFonts w:ascii="Arial" w:hAnsi="Arial" w:cs="Arial"/>
              <w:color w:val="auto"/>
              <w:sz w:val="16"/>
              <w:szCs w:val="16"/>
            </w:rPr>
            <w:fldChar w:fldCharType="end"/>
          </w:r>
          <w:r w:rsidRPr="007B4440">
            <w:rPr>
              <w:rStyle w:val="LogoportDoNotTranslate"/>
              <w:rFonts w:ascii="Arial" w:hAnsi="Arial" w:cs="Arial"/>
              <w:color w:val="auto"/>
              <w:sz w:val="16"/>
              <w:szCs w:val="16"/>
            </w:rPr>
            <w:t xml:space="preserve"> of </w:t>
          </w:r>
          <w:r w:rsidRPr="007B4440">
            <w:rPr>
              <w:rStyle w:val="LogoportDoNotTranslate"/>
              <w:rFonts w:ascii="Arial" w:hAnsi="Arial" w:cs="Arial"/>
              <w:color w:val="auto"/>
              <w:sz w:val="16"/>
              <w:szCs w:val="16"/>
            </w:rPr>
            <w:fldChar w:fldCharType="begin"/>
          </w:r>
          <w:r w:rsidRPr="007B4440">
            <w:rPr>
              <w:rStyle w:val="LogoportDoNotTranslate"/>
              <w:rFonts w:ascii="Arial" w:hAnsi="Arial" w:cs="Arial"/>
              <w:color w:val="auto"/>
              <w:sz w:val="16"/>
              <w:szCs w:val="16"/>
            </w:rPr>
            <w:instrText xml:space="preserve"> NUMPAGES  \* MERGEFORMAT </w:instrText>
          </w:r>
          <w:r w:rsidRPr="007B4440">
            <w:rPr>
              <w:rStyle w:val="LogoportDoNotTranslate"/>
              <w:rFonts w:ascii="Arial" w:hAnsi="Arial" w:cs="Arial"/>
              <w:color w:val="auto"/>
              <w:sz w:val="16"/>
              <w:szCs w:val="16"/>
            </w:rPr>
            <w:fldChar w:fldCharType="separate"/>
          </w:r>
          <w:r w:rsidR="00682261">
            <w:rPr>
              <w:rStyle w:val="LogoportDoNotTranslate"/>
              <w:rFonts w:ascii="Arial" w:hAnsi="Arial" w:cs="Arial"/>
              <w:noProof/>
              <w:color w:val="auto"/>
              <w:sz w:val="16"/>
              <w:szCs w:val="16"/>
            </w:rPr>
            <w:t>2</w:t>
          </w:r>
          <w:r w:rsidRPr="007B4440">
            <w:rPr>
              <w:rStyle w:val="LogoportDoNotTranslate"/>
              <w:rFonts w:ascii="Arial" w:hAnsi="Arial" w:cs="Arial"/>
              <w:color w:val="auto"/>
              <w:sz w:val="16"/>
              <w:szCs w:val="16"/>
            </w:rPr>
            <w:fldChar w:fldCharType="end"/>
          </w:r>
        </w:p>
        <w:p w:rsidR="007B4440" w:rsidRPr="007B4440" w:rsidRDefault="007B4440" w:rsidP="007B4440">
          <w:pPr>
            <w:pStyle w:val="Footer"/>
            <w:jc w:val="right"/>
            <w:rPr>
              <w:rStyle w:val="LogoportDoNotTranslate"/>
              <w:rFonts w:ascii="Arial" w:hAnsi="Arial" w:cs="Arial"/>
              <w:color w:val="auto"/>
              <w:sz w:val="16"/>
              <w:szCs w:val="16"/>
            </w:rPr>
          </w:pPr>
        </w:p>
      </w:tc>
    </w:tr>
  </w:tbl>
  <w:p w:rsidR="007B4440" w:rsidRPr="007B4440" w:rsidRDefault="007B4440" w:rsidP="007B4440">
    <w:pPr>
      <w:pStyle w:val="Footer"/>
      <w:rPr>
        <w:rStyle w:val="LogoportDoNotTranslate"/>
        <w:rFonts w:ascii="Arial" w:hAnsi="Arial" w:cs="Arial"/>
        <w:color w:val="auto"/>
        <w:sz w:val="16"/>
        <w:szCs w:val="20"/>
      </w:rPr>
    </w:pPr>
  </w:p>
  <w:p w:rsidR="0006204C" w:rsidRPr="007B4440" w:rsidRDefault="0006204C" w:rsidP="007B4440">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7B4440" w:rsidRPr="007B4440" w:rsidTr="007B4440">
      <w:trPr>
        <w:jc w:val="center"/>
      </w:trPr>
      <w:tc>
        <w:tcPr>
          <w:tcW w:w="4621" w:type="dxa"/>
          <w:shd w:val="clear" w:color="auto" w:fill="auto"/>
        </w:tcPr>
        <w:p w:rsidR="007B4440" w:rsidRPr="007B4440" w:rsidRDefault="007B4440" w:rsidP="007B4440">
          <w:pPr>
            <w:pStyle w:val="Footer"/>
            <w:rPr>
              <w:rStyle w:val="LogoportDoNotTranslate"/>
              <w:rFonts w:ascii="Arial" w:hAnsi="Arial" w:cs="Arial"/>
              <w:color w:val="auto"/>
              <w:sz w:val="16"/>
              <w:szCs w:val="16"/>
            </w:rPr>
          </w:pPr>
          <w:r w:rsidRPr="007B4440">
            <w:rPr>
              <w:rStyle w:val="LogoportDoNotTranslate"/>
              <w:rFonts w:ascii="Arial" w:hAnsi="Arial" w:cs="Arial"/>
              <w:color w:val="auto"/>
              <w:sz w:val="16"/>
              <w:szCs w:val="16"/>
            </w:rPr>
            <w:t>GovEligibilityDef(EMEA)(NOR)(Nov2014)</w:t>
          </w:r>
        </w:p>
      </w:tc>
      <w:tc>
        <w:tcPr>
          <w:tcW w:w="4622" w:type="dxa"/>
          <w:shd w:val="clear" w:color="auto" w:fill="auto"/>
        </w:tcPr>
        <w:p w:rsidR="007B4440" w:rsidRPr="007B4440" w:rsidRDefault="007B4440" w:rsidP="007B4440">
          <w:pPr>
            <w:pStyle w:val="Footer"/>
            <w:jc w:val="right"/>
            <w:rPr>
              <w:rStyle w:val="LogoportDoNotTranslate"/>
              <w:rFonts w:ascii="Arial" w:hAnsi="Arial" w:cs="Arial"/>
              <w:color w:val="auto"/>
              <w:sz w:val="16"/>
              <w:szCs w:val="16"/>
            </w:rPr>
          </w:pPr>
          <w:r w:rsidRPr="007B4440">
            <w:rPr>
              <w:rStyle w:val="LogoportDoNotTranslate"/>
              <w:rFonts w:ascii="Arial" w:hAnsi="Arial" w:cs="Arial"/>
              <w:color w:val="auto"/>
              <w:sz w:val="16"/>
              <w:szCs w:val="16"/>
            </w:rPr>
            <w:t xml:space="preserve">Page </w:t>
          </w:r>
          <w:r w:rsidRPr="007B4440">
            <w:rPr>
              <w:rStyle w:val="LogoportDoNotTranslate"/>
              <w:rFonts w:ascii="Arial" w:hAnsi="Arial" w:cs="Arial"/>
              <w:color w:val="auto"/>
              <w:sz w:val="16"/>
              <w:szCs w:val="16"/>
            </w:rPr>
            <w:fldChar w:fldCharType="begin"/>
          </w:r>
          <w:r w:rsidRPr="007B4440">
            <w:rPr>
              <w:rStyle w:val="LogoportDoNotTranslate"/>
              <w:rFonts w:ascii="Arial" w:hAnsi="Arial" w:cs="Arial"/>
              <w:color w:val="auto"/>
              <w:sz w:val="16"/>
              <w:szCs w:val="16"/>
            </w:rPr>
            <w:instrText xml:space="preserve"> PAGE  \* MERGEFORMAT </w:instrText>
          </w:r>
          <w:r w:rsidRPr="007B4440">
            <w:rPr>
              <w:rStyle w:val="LogoportDoNotTranslate"/>
              <w:rFonts w:ascii="Arial" w:hAnsi="Arial" w:cs="Arial"/>
              <w:color w:val="auto"/>
              <w:sz w:val="16"/>
              <w:szCs w:val="16"/>
            </w:rPr>
            <w:fldChar w:fldCharType="separate"/>
          </w:r>
          <w:r w:rsidR="00682261">
            <w:rPr>
              <w:rStyle w:val="LogoportDoNotTranslate"/>
              <w:rFonts w:ascii="Arial" w:hAnsi="Arial" w:cs="Arial"/>
              <w:noProof/>
              <w:color w:val="auto"/>
              <w:sz w:val="16"/>
              <w:szCs w:val="16"/>
            </w:rPr>
            <w:t>1</w:t>
          </w:r>
          <w:r w:rsidRPr="007B4440">
            <w:rPr>
              <w:rStyle w:val="LogoportDoNotTranslate"/>
              <w:rFonts w:ascii="Arial" w:hAnsi="Arial" w:cs="Arial"/>
              <w:color w:val="auto"/>
              <w:sz w:val="16"/>
              <w:szCs w:val="16"/>
            </w:rPr>
            <w:fldChar w:fldCharType="end"/>
          </w:r>
          <w:r w:rsidRPr="007B4440">
            <w:rPr>
              <w:rStyle w:val="LogoportDoNotTranslate"/>
              <w:rFonts w:ascii="Arial" w:hAnsi="Arial" w:cs="Arial"/>
              <w:color w:val="auto"/>
              <w:sz w:val="16"/>
              <w:szCs w:val="16"/>
            </w:rPr>
            <w:t xml:space="preserve"> of </w:t>
          </w:r>
          <w:r w:rsidRPr="007B4440">
            <w:rPr>
              <w:rStyle w:val="LogoportDoNotTranslate"/>
              <w:rFonts w:ascii="Arial" w:hAnsi="Arial" w:cs="Arial"/>
              <w:color w:val="auto"/>
              <w:sz w:val="16"/>
              <w:szCs w:val="16"/>
            </w:rPr>
            <w:fldChar w:fldCharType="begin"/>
          </w:r>
          <w:r w:rsidRPr="007B4440">
            <w:rPr>
              <w:rStyle w:val="LogoportDoNotTranslate"/>
              <w:rFonts w:ascii="Arial" w:hAnsi="Arial" w:cs="Arial"/>
              <w:color w:val="auto"/>
              <w:sz w:val="16"/>
              <w:szCs w:val="16"/>
            </w:rPr>
            <w:instrText xml:space="preserve"> NUMPAGES  \* MERGEFORMAT </w:instrText>
          </w:r>
          <w:r w:rsidRPr="007B4440">
            <w:rPr>
              <w:rStyle w:val="LogoportDoNotTranslate"/>
              <w:rFonts w:ascii="Arial" w:hAnsi="Arial" w:cs="Arial"/>
              <w:color w:val="auto"/>
              <w:sz w:val="16"/>
              <w:szCs w:val="16"/>
            </w:rPr>
            <w:fldChar w:fldCharType="separate"/>
          </w:r>
          <w:r w:rsidR="00682261">
            <w:rPr>
              <w:rStyle w:val="LogoportDoNotTranslate"/>
              <w:rFonts w:ascii="Arial" w:hAnsi="Arial" w:cs="Arial"/>
              <w:noProof/>
              <w:color w:val="auto"/>
              <w:sz w:val="16"/>
              <w:szCs w:val="16"/>
            </w:rPr>
            <w:t>2</w:t>
          </w:r>
          <w:r w:rsidRPr="007B4440">
            <w:rPr>
              <w:rStyle w:val="LogoportDoNotTranslate"/>
              <w:rFonts w:ascii="Arial" w:hAnsi="Arial" w:cs="Arial"/>
              <w:color w:val="auto"/>
              <w:sz w:val="16"/>
              <w:szCs w:val="16"/>
            </w:rPr>
            <w:fldChar w:fldCharType="end"/>
          </w:r>
        </w:p>
        <w:p w:rsidR="007B4440" w:rsidRPr="007B4440" w:rsidRDefault="007B4440" w:rsidP="007B4440">
          <w:pPr>
            <w:pStyle w:val="Footer"/>
            <w:jc w:val="right"/>
            <w:rPr>
              <w:rStyle w:val="LogoportDoNotTranslate"/>
              <w:rFonts w:ascii="Arial" w:hAnsi="Arial" w:cs="Arial"/>
              <w:color w:val="auto"/>
              <w:sz w:val="16"/>
              <w:szCs w:val="16"/>
            </w:rPr>
          </w:pPr>
        </w:p>
      </w:tc>
    </w:tr>
  </w:tbl>
  <w:p w:rsidR="005D37CF" w:rsidRPr="007B4440" w:rsidRDefault="005D37CF" w:rsidP="007B4440">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00C" w:rsidRDefault="00A7000C" w:rsidP="00CF4E9C">
      <w:pPr>
        <w:spacing w:before="0"/>
      </w:pPr>
      <w:r>
        <w:separator/>
      </w:r>
    </w:p>
  </w:footnote>
  <w:footnote w:type="continuationSeparator" w:id="0">
    <w:p w:rsidR="00A7000C" w:rsidRDefault="00A7000C"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68226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68226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682261"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14:anchorId="1661DF14" wp14:editId="43B7B90A">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829B7"/>
    <w:rsid w:val="000A6499"/>
    <w:rsid w:val="000E2821"/>
    <w:rsid w:val="001263E5"/>
    <w:rsid w:val="00165890"/>
    <w:rsid w:val="0017783A"/>
    <w:rsid w:val="001A4EAB"/>
    <w:rsid w:val="002034A1"/>
    <w:rsid w:val="00237920"/>
    <w:rsid w:val="00254540"/>
    <w:rsid w:val="002B1126"/>
    <w:rsid w:val="002C7665"/>
    <w:rsid w:val="002F2434"/>
    <w:rsid w:val="00305443"/>
    <w:rsid w:val="00361066"/>
    <w:rsid w:val="00361EB4"/>
    <w:rsid w:val="00380578"/>
    <w:rsid w:val="00387A64"/>
    <w:rsid w:val="003A74D8"/>
    <w:rsid w:val="003B6DC6"/>
    <w:rsid w:val="0041299F"/>
    <w:rsid w:val="0042245E"/>
    <w:rsid w:val="004735D0"/>
    <w:rsid w:val="00493CEC"/>
    <w:rsid w:val="004A701B"/>
    <w:rsid w:val="004B6ADE"/>
    <w:rsid w:val="004C67A5"/>
    <w:rsid w:val="005505EF"/>
    <w:rsid w:val="00561C12"/>
    <w:rsid w:val="00590119"/>
    <w:rsid w:val="005D37CF"/>
    <w:rsid w:val="005D760D"/>
    <w:rsid w:val="0064711A"/>
    <w:rsid w:val="00682261"/>
    <w:rsid w:val="006F214E"/>
    <w:rsid w:val="007B4440"/>
    <w:rsid w:val="007C13AD"/>
    <w:rsid w:val="007E1AD7"/>
    <w:rsid w:val="007E463F"/>
    <w:rsid w:val="007F4215"/>
    <w:rsid w:val="00810E3F"/>
    <w:rsid w:val="00814D01"/>
    <w:rsid w:val="00837C81"/>
    <w:rsid w:val="00845DF2"/>
    <w:rsid w:val="0084628C"/>
    <w:rsid w:val="0084691D"/>
    <w:rsid w:val="00857479"/>
    <w:rsid w:val="00883E16"/>
    <w:rsid w:val="008A327A"/>
    <w:rsid w:val="008D739F"/>
    <w:rsid w:val="00921E07"/>
    <w:rsid w:val="00923D0B"/>
    <w:rsid w:val="00962F52"/>
    <w:rsid w:val="00970110"/>
    <w:rsid w:val="00997BA6"/>
    <w:rsid w:val="009B1C45"/>
    <w:rsid w:val="009B4A1E"/>
    <w:rsid w:val="009E4D3C"/>
    <w:rsid w:val="009F6773"/>
    <w:rsid w:val="00A00760"/>
    <w:rsid w:val="00A12728"/>
    <w:rsid w:val="00A561A9"/>
    <w:rsid w:val="00A7000C"/>
    <w:rsid w:val="00A74B65"/>
    <w:rsid w:val="00AA2506"/>
    <w:rsid w:val="00AA5A57"/>
    <w:rsid w:val="00AF0183"/>
    <w:rsid w:val="00AF2DB2"/>
    <w:rsid w:val="00BB0E2C"/>
    <w:rsid w:val="00BB2686"/>
    <w:rsid w:val="00BF62F4"/>
    <w:rsid w:val="00BF7180"/>
    <w:rsid w:val="00C4094F"/>
    <w:rsid w:val="00C71871"/>
    <w:rsid w:val="00CC305F"/>
    <w:rsid w:val="00CD6F8A"/>
    <w:rsid w:val="00CF4E9C"/>
    <w:rsid w:val="00D164EA"/>
    <w:rsid w:val="00D47475"/>
    <w:rsid w:val="00D760D9"/>
    <w:rsid w:val="00D767E6"/>
    <w:rsid w:val="00DB0E94"/>
    <w:rsid w:val="00E02027"/>
    <w:rsid w:val="00E17EAA"/>
    <w:rsid w:val="00E223A5"/>
    <w:rsid w:val="00E24334"/>
    <w:rsid w:val="00E74F51"/>
    <w:rsid w:val="00E81596"/>
    <w:rsid w:val="00EB3D31"/>
    <w:rsid w:val="00EE1A7E"/>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4FC2FFB8-0000-4D30-9562-A806E6A31D79}"/>
  <w:documentProtection w:edit="forms" w:enforcement="true" w:cryptProviderType="rsaFull" w:cryptAlgorithmClass="hash" w:cryptAlgorithmType="typeAny" w:cryptAlgorithmSid="4" w:cryptSpinCount="50000" w:hash="pzNE1XquAmNtwFdVAzVJ/afqydE=" w:salt="S8N/i1gEL6CbcaTzZguze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nb-NO" w:eastAsia="nb-NO" w:bidi="nb-NO"/>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55</cp:revision>
  <cp:lastPrinted>2014-09-23T08:15:00Z</cp:lastPrinted>
  <dcterms:created xsi:type="dcterms:W3CDTF">2014-09-05T03:56:00Z</dcterms:created>
  <dcterms:modified xsi:type="dcterms:W3CDTF">2014-10-07T18:26:00Z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