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C8B" w14:textId="77777777"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Definiţia Microsoft privind eligibilitatea în calitate de entitate guvernamentală (EMEA)</w:t>
      </w:r>
    </w:p>
    <w:p w14:paraId="14283C8C" w14:textId="5A7E87E8" w:rsidR="00CF4E9C" w:rsidRPr="00883E16" w:rsidRDefault="002B1126" w:rsidP="00883E16">
      <w:pPr>
        <w:spacing w:before="360" w:after="120"/>
      </w:pPr>
      <w:r>
        <w:t>Organizaţiile din sectorul public care se înscriu în categoriile sau criteriile definite şi descrise mai jos sunt eligibile pentru a participa în programele Microsoft de licenţiere în volum, special proiectate pentru guvern („entităţile eligibile”).</w:t>
      </w:r>
      <w:r w:rsidR="00B06E78">
        <w:t xml:space="preserve"> </w:t>
      </w:r>
      <w:r>
        <w:t>O „entitate eligibilă” înseamnă orice organizaţie care nu funcţionează pentru profit şi care se încadrează în una din categoriile următoare:</w:t>
      </w:r>
      <w:r w:rsidR="00B06E78">
        <w:t xml:space="preserve"> </w:t>
      </w:r>
    </w:p>
    <w:tbl>
      <w:tblPr>
        <w:tblStyle w:val="TableGrid"/>
        <w:tblW w:w="9029" w:type="dxa"/>
        <w:jc w:val="center"/>
        <w:tblLook w:val="04A0" w:firstRow="1" w:lastRow="0" w:firstColumn="1" w:lastColumn="0" w:noHBand="0" w:noVBand="1"/>
      </w:tblPr>
      <w:tblGrid>
        <w:gridCol w:w="2341"/>
        <w:gridCol w:w="6688"/>
      </w:tblGrid>
      <w:tr w:rsidR="00CF4E9C" w:rsidRPr="00883E16" w14:paraId="14283C8E" w14:textId="77777777" w:rsidTr="00165890">
        <w:trPr>
          <w:cantSplit/>
          <w:tblHeader/>
          <w:jc w:val="center"/>
        </w:trPr>
        <w:tc>
          <w:tcPr>
            <w:tcW w:w="9029" w:type="dxa"/>
            <w:gridSpan w:val="2"/>
            <w:shd w:val="clear" w:color="auto" w:fill="000000" w:themeFill="text1"/>
          </w:tcPr>
          <w:p w14:paraId="14283C8D" w14:textId="77777777" w:rsidR="00CF4E9C" w:rsidRPr="00883E16" w:rsidRDefault="00CF4E9C" w:rsidP="00883E16">
            <w:pPr>
              <w:keepNext/>
              <w:spacing w:before="120" w:after="120"/>
              <w:rPr>
                <w:b/>
                <w:bCs/>
                <w:color w:val="FFFFFF" w:themeColor="background1"/>
              </w:rPr>
            </w:pPr>
            <w:r>
              <w:rPr>
                <w:b/>
                <w:bCs/>
                <w:color w:val="FFFFFF" w:themeColor="background1"/>
              </w:rPr>
              <w:t>Categorii</w:t>
            </w:r>
          </w:p>
        </w:tc>
      </w:tr>
      <w:tr w:rsidR="00CF4E9C" w:rsidRPr="00883E16" w14:paraId="14283C91" w14:textId="77777777" w:rsidTr="00165890">
        <w:trPr>
          <w:cantSplit/>
          <w:tblHeader/>
          <w:jc w:val="center"/>
        </w:trPr>
        <w:tc>
          <w:tcPr>
            <w:tcW w:w="2341" w:type="dxa"/>
            <w:vAlign w:val="center"/>
          </w:tcPr>
          <w:p w14:paraId="14283C8F" w14:textId="77777777" w:rsidR="00CF4E9C" w:rsidRPr="00883E16" w:rsidRDefault="00CF4E9C" w:rsidP="00883E16">
            <w:pPr>
              <w:spacing w:before="120" w:after="120"/>
              <w:jc w:val="left"/>
              <w:rPr>
                <w:b/>
                <w:bCs/>
              </w:rPr>
            </w:pPr>
            <w:r>
              <w:rPr>
                <w:b/>
                <w:bCs/>
              </w:rPr>
              <w:t>A. Supranaţionale</w:t>
            </w:r>
          </w:p>
        </w:tc>
        <w:tc>
          <w:tcPr>
            <w:tcW w:w="6688" w:type="dxa"/>
            <w:vAlign w:val="center"/>
          </w:tcPr>
          <w:p w14:paraId="14283C90" w14:textId="77777777" w:rsidR="00CF4E9C" w:rsidRPr="00883E16" w:rsidRDefault="00CF4E9C" w:rsidP="00883E16">
            <w:pPr>
              <w:spacing w:before="120" w:after="120"/>
            </w:pPr>
            <w:r>
              <w:t>Toate organizaţiile/instituţiile cu rol distinctiv legislativ sau de reglementare pentru mai multe guverne naţionale.</w:t>
            </w:r>
          </w:p>
        </w:tc>
      </w:tr>
      <w:tr w:rsidR="00CF4E9C" w:rsidRPr="00883E16" w14:paraId="14283C94" w14:textId="77777777" w:rsidTr="00165890">
        <w:trPr>
          <w:cantSplit/>
          <w:tblHeader/>
          <w:jc w:val="center"/>
        </w:trPr>
        <w:tc>
          <w:tcPr>
            <w:tcW w:w="2341" w:type="dxa"/>
            <w:vAlign w:val="center"/>
          </w:tcPr>
          <w:p w14:paraId="14283C92" w14:textId="77777777" w:rsidR="00CF4E9C" w:rsidRPr="00883E16" w:rsidRDefault="00CF4E9C" w:rsidP="00883E16">
            <w:pPr>
              <w:spacing w:before="120" w:after="120"/>
              <w:jc w:val="left"/>
              <w:rPr>
                <w:b/>
                <w:bCs/>
              </w:rPr>
            </w:pPr>
            <w:r>
              <w:rPr>
                <w:b/>
                <w:bCs/>
              </w:rPr>
              <w:t>B. Naţionale/federale</w:t>
            </w:r>
          </w:p>
        </w:tc>
        <w:tc>
          <w:tcPr>
            <w:tcW w:w="6688" w:type="dxa"/>
            <w:vAlign w:val="center"/>
          </w:tcPr>
          <w:p w14:paraId="14283C93" w14:textId="77777777" w:rsidR="00CF4E9C" w:rsidRPr="00883E16" w:rsidRDefault="00CF4E9C" w:rsidP="00883E16">
            <w:pPr>
              <w:spacing w:before="120" w:after="120"/>
            </w:pPr>
            <w:r>
              <w:t>Toate organizaţiile/instituţiile de stat conduse la nivel federal/naţional, delegate să administreze un stat naţional sau o ţară.</w:t>
            </w:r>
            <w:r w:rsidR="00B06E78">
              <w:t xml:space="preserve"> </w:t>
            </w:r>
            <w:r>
              <w:t>Din această categorie fac parte organele parlamentare şi judiciare, cu putere regulatorie sau decizională asupra statului de drept.</w:t>
            </w:r>
          </w:p>
        </w:tc>
      </w:tr>
      <w:tr w:rsidR="00CF4E9C" w:rsidRPr="00883E16" w14:paraId="14283C97" w14:textId="77777777" w:rsidTr="00165890">
        <w:trPr>
          <w:cantSplit/>
          <w:tblHeader/>
          <w:jc w:val="center"/>
        </w:trPr>
        <w:tc>
          <w:tcPr>
            <w:tcW w:w="2341" w:type="dxa"/>
            <w:vAlign w:val="center"/>
          </w:tcPr>
          <w:p w14:paraId="14283C95" w14:textId="77777777" w:rsidR="00CF4E9C" w:rsidRPr="00883E16" w:rsidRDefault="00CF4E9C" w:rsidP="00883E16">
            <w:pPr>
              <w:spacing w:before="120" w:after="120"/>
              <w:jc w:val="left"/>
              <w:rPr>
                <w:b/>
                <w:bCs/>
              </w:rPr>
            </w:pPr>
            <w:r>
              <w:rPr>
                <w:b/>
                <w:bCs/>
              </w:rPr>
              <w:t>C. Regionale/de stat/provinciale</w:t>
            </w:r>
          </w:p>
        </w:tc>
        <w:tc>
          <w:tcPr>
            <w:tcW w:w="6688" w:type="dxa"/>
            <w:vAlign w:val="center"/>
          </w:tcPr>
          <w:p w14:paraId="14283C96" w14:textId="77777777" w:rsidR="00CF4E9C" w:rsidRPr="00883E16" w:rsidRDefault="00CF4E9C" w:rsidP="00883E16">
            <w:pPr>
              <w:spacing w:before="120" w:after="120"/>
            </w:pPr>
            <w:r>
              <w:t>Un nivel intermediar al guvernului care nu acoperă o ţară întreagă, dar care include domenii multiple de conducere locală în cadrul jurisdicţiei. Acesta include (1) toate organizaţiile/instituţiile de stat conduse la nivel de stat/regional, cu denumiri variate: regiuni, departamente, state, landuri, judeţe sau provincii şi (2) toate departamentele, organele parlamentare, autorităţile de reglementare şi organele judiciare cu putere regulatorie sau decizională asupra statului de drept în regiunea, departamentul, statul, landul, judeţul sau provincia respectivă.</w:t>
            </w:r>
          </w:p>
        </w:tc>
      </w:tr>
      <w:tr w:rsidR="00CF4E9C" w:rsidRPr="00883E16" w14:paraId="14283C9A" w14:textId="77777777" w:rsidTr="00165890">
        <w:trPr>
          <w:cantSplit/>
          <w:tblHeader/>
          <w:jc w:val="center"/>
        </w:trPr>
        <w:tc>
          <w:tcPr>
            <w:tcW w:w="2341" w:type="dxa"/>
            <w:vAlign w:val="center"/>
          </w:tcPr>
          <w:p w14:paraId="14283C98" w14:textId="77777777" w:rsidR="00CF4E9C" w:rsidRPr="00883E16" w:rsidRDefault="00CF4E9C" w:rsidP="00883E16">
            <w:pPr>
              <w:spacing w:before="120" w:after="120"/>
              <w:jc w:val="left"/>
              <w:rPr>
                <w:b/>
                <w:bCs/>
              </w:rPr>
            </w:pPr>
            <w:r>
              <w:rPr>
                <w:b/>
                <w:bCs/>
              </w:rPr>
              <w:t>D. Locale/municipale</w:t>
            </w:r>
          </w:p>
        </w:tc>
        <w:tc>
          <w:tcPr>
            <w:tcW w:w="6688" w:type="dxa"/>
            <w:vAlign w:val="center"/>
          </w:tcPr>
          <w:p w14:paraId="14283C99" w14:textId="77777777" w:rsidR="00CF4E9C" w:rsidRPr="00883E16" w:rsidRDefault="00CF4E9C" w:rsidP="00883E16">
            <w:pPr>
              <w:spacing w:before="120" w:after="120"/>
            </w:pPr>
            <w:r>
              <w:t>Cel mai mic nivel al statului şi al administraţiei asociate. Acesta include toate organizaţiile/instituţiile de stat conduse la nivel de metropolă, oraş, sector, municipiu, sat, district, comună şi cartier (de ex. agrement, colectarea gunoiului, pompieri, gestionarea serviciilor locale şi implementarea anumitor servicii naţionale).</w:t>
            </w:r>
          </w:p>
        </w:tc>
      </w:tr>
      <w:tr w:rsidR="00CF4E9C" w:rsidRPr="00883E16" w14:paraId="14283C9D" w14:textId="77777777" w:rsidTr="00165890">
        <w:trPr>
          <w:cantSplit/>
          <w:tblHeader/>
          <w:jc w:val="center"/>
        </w:trPr>
        <w:tc>
          <w:tcPr>
            <w:tcW w:w="2341" w:type="dxa"/>
            <w:vAlign w:val="center"/>
          </w:tcPr>
          <w:p w14:paraId="14283C9B" w14:textId="77777777" w:rsidR="00CF4E9C" w:rsidRPr="00883E16" w:rsidRDefault="00CF4E9C" w:rsidP="00883E16">
            <w:pPr>
              <w:spacing w:before="120" w:after="120"/>
              <w:jc w:val="left"/>
              <w:rPr>
                <w:b/>
                <w:bCs/>
              </w:rPr>
            </w:pPr>
            <w:r>
              <w:rPr>
                <w:b/>
                <w:bCs/>
              </w:rPr>
              <w:t>E. Sănătate</w:t>
            </w:r>
          </w:p>
        </w:tc>
        <w:tc>
          <w:tcPr>
            <w:tcW w:w="6688" w:type="dxa"/>
            <w:vAlign w:val="center"/>
          </w:tcPr>
          <w:p w14:paraId="14283C9C" w14:textId="77777777" w:rsidR="00CF4E9C" w:rsidRPr="00883E16" w:rsidRDefault="00CF4E9C" w:rsidP="00883E16">
            <w:pPr>
              <w:spacing w:before="120" w:after="120"/>
            </w:pPr>
            <w:r>
              <w:t>Organizaţiile/instituţiile de stat care oferă servicii şi asigurări de sănătate, care reglementează sau decid politica de sănătate la nivel de stat naţional sau ţară, asigură finanţarea serviciilor şi asigurărilor de sănătate sau deţin rol de reglementare în domeniul serviciilor şi asigurărilor de sănătate.</w:t>
            </w:r>
          </w:p>
        </w:tc>
      </w:tr>
      <w:tr w:rsidR="00CF4E9C" w:rsidRPr="00883E16" w14:paraId="14283CA1" w14:textId="77777777" w:rsidTr="00165890">
        <w:trPr>
          <w:cantSplit/>
          <w:tblHeader/>
          <w:jc w:val="center"/>
        </w:trPr>
        <w:tc>
          <w:tcPr>
            <w:tcW w:w="2341" w:type="dxa"/>
            <w:vAlign w:val="center"/>
          </w:tcPr>
          <w:p w14:paraId="14283C9E" w14:textId="77777777" w:rsidR="00CF4E9C" w:rsidRPr="00883E16" w:rsidRDefault="00CF4E9C" w:rsidP="00883E16">
            <w:pPr>
              <w:spacing w:before="120" w:after="120"/>
              <w:jc w:val="left"/>
              <w:rPr>
                <w:b/>
                <w:bCs/>
              </w:rPr>
            </w:pPr>
            <w:r>
              <w:rPr>
                <w:b/>
                <w:bCs/>
              </w:rPr>
              <w:t>F. Alte organizaţii de stat</w:t>
            </w:r>
          </w:p>
        </w:tc>
        <w:tc>
          <w:tcPr>
            <w:tcW w:w="6688" w:type="dxa"/>
            <w:vAlign w:val="center"/>
          </w:tcPr>
          <w:p w14:paraId="14283C9F" w14:textId="77777777" w:rsidR="00CF4E9C" w:rsidRPr="00883E16" w:rsidRDefault="00CF4E9C" w:rsidP="00883E16">
            <w:pPr>
              <w:spacing w:before="120" w:after="120"/>
            </w:pPr>
            <w:r>
              <w:t>Orice organizaţie subordonată doar unui guvern de stat naţional recunoscut în plan internaţional şi controlată în principal de acesta.</w:t>
            </w:r>
          </w:p>
          <w:p w14:paraId="14283CA0" w14:textId="77777777" w:rsidR="00AA5A57" w:rsidRPr="00883E16" w:rsidRDefault="00AA5A57" w:rsidP="00883E16">
            <w:pPr>
              <w:spacing w:after="120"/>
            </w:pPr>
            <w:r>
              <w:t xml:space="preserve">Orice organizaţie creată prin lege pentru a deţine un rol public, conform descrierii din legea relevantă sau din articolele referitoare la asociaţia/obiectivele organizaţiei respective (de ex., consilii legale, corporaţii municipale, organizaţii de cercetare de stat). </w:t>
            </w:r>
          </w:p>
        </w:tc>
      </w:tr>
    </w:tbl>
    <w:p w14:paraId="14283CA2" w14:textId="77777777" w:rsidR="00CF4E9C" w:rsidRPr="00883E16" w:rsidRDefault="00CF4E9C" w:rsidP="00883E16">
      <w:r>
        <w:t>Dacă o organizaţie se încadrează în una din categoriile de mai sus şi funcţionează pentru profit, se vor aplica următoarele criterii suplimentare pentru a se stabili dacă se califică drept entitate eligibilă:</w:t>
      </w:r>
    </w:p>
    <w:p w14:paraId="14283CA3" w14:textId="77777777" w:rsidR="00CF4E9C" w:rsidRPr="00883E16" w:rsidRDefault="00CF4E9C" w:rsidP="00883E16">
      <w:pPr>
        <w:pStyle w:val="ListParagraph"/>
        <w:numPr>
          <w:ilvl w:val="0"/>
          <w:numId w:val="1"/>
        </w:numPr>
        <w:ind w:left="1080"/>
        <w:contextualSpacing w:val="0"/>
      </w:pPr>
      <w:r>
        <w:t>Veniturile/profiturile merg doar la guvern (sau şi la acţionarii privaţi)?</w:t>
      </w:r>
    </w:p>
    <w:p w14:paraId="14283CA4" w14:textId="3B964A48" w:rsidR="00CF4E9C" w:rsidRPr="00883E16" w:rsidRDefault="00CF4E9C" w:rsidP="00883E16">
      <w:pPr>
        <w:pStyle w:val="ListParagraph"/>
        <w:numPr>
          <w:ilvl w:val="0"/>
          <w:numId w:val="1"/>
        </w:numPr>
        <w:ind w:left="1080"/>
        <w:contextualSpacing w:val="0"/>
      </w:pPr>
      <w:r>
        <w:t xml:space="preserve">Organizaţia respectivă este scutită de la plata impozitului </w:t>
      </w:r>
      <w:r w:rsidR="007D0A9D">
        <w:t>pe profit</w:t>
      </w:r>
      <w:r>
        <w:t>?</w:t>
      </w:r>
    </w:p>
    <w:p w14:paraId="14283CA5" w14:textId="77777777" w:rsidR="00CF4E9C" w:rsidRPr="00883E16" w:rsidRDefault="00CF4E9C" w:rsidP="00883E16">
      <w:pPr>
        <w:pStyle w:val="ListParagraph"/>
        <w:numPr>
          <w:ilvl w:val="0"/>
          <w:numId w:val="1"/>
        </w:numPr>
        <w:ind w:left="1080"/>
        <w:contextualSpacing w:val="0"/>
      </w:pPr>
      <w:r>
        <w:t>Organizaţia este finanţată de guvern în procent mai mare de 50% (adică, mai puţin de 50% din finanţare provine din activităţi comerciale)?</w:t>
      </w:r>
    </w:p>
    <w:p w14:paraId="14283CA6" w14:textId="77777777" w:rsidR="00CF4E9C" w:rsidRPr="00883E16" w:rsidRDefault="00CF4E9C" w:rsidP="00883E16">
      <w:r>
        <w:t xml:space="preserve">Dacă răspunsul este „da” la toate aceste întrebări, atunci organizaţia se califică drept entitate eligibilă. Dacă răspunsul este „nu” la oricare din întrebările de mai sus, atunci organizaţia nu se califică drept </w:t>
      </w:r>
      <w:r>
        <w:lastRenderedPageBreak/>
        <w:t xml:space="preserve">entitate eligibilă. În general, corporaţiile de stat, întreprinderile de stat şi organizaţiile de stat (încorporate sau nu) cu activitate comercială (de ex., telecomunicaţii, bănci, transporturi etc.) nu se califică drept entităţi eligibile. </w:t>
      </w:r>
    </w:p>
    <w:p w14:paraId="14283CA7" w14:textId="77777777" w:rsidR="00CF4E9C" w:rsidRPr="00883E16" w:rsidRDefault="00CF4E9C" w:rsidP="00883E16">
      <w:r>
        <w:t xml:space="preserve">Dacă guvernul unei ţări publică o listă a organizaţiilor din sectorul public, organizaţiile respective trebuie să îndeplinească criteriile stabilite în această definiţie pentru a se califica drept entităţi eligibile. </w:t>
      </w:r>
    </w:p>
    <w:p w14:paraId="14283CA8" w14:textId="77777777" w:rsidR="00E24334" w:rsidRPr="00883E16" w:rsidRDefault="00E24334" w:rsidP="00883E16">
      <w:r>
        <w:t xml:space="preserve">În cazul în care o organizaţie îşi pierde statutul de entitate guvernamentală eligibilă după semnarea unui contract de licenţiere, organizaţia poate continua să utilizeze copiile pentru care deţine licenţă, dar nu poate transmite noi comenzi pentru Licenţe în baza programelor Microsoft Government License. </w:t>
      </w:r>
    </w:p>
    <w:p w14:paraId="14283CA9" w14:textId="77777777" w:rsidR="00F9352D" w:rsidRPr="00883E16" w:rsidRDefault="00A561A9" w:rsidP="000A6499">
      <w:bookmarkStart w:id="1" w:name="OLE_LINK1"/>
      <w:bookmarkStart w:id="2" w:name="OLE_LINK2"/>
      <w:r>
        <w:t>Microsoft oferă organizaţiilor eligibile din sectorul public (astfel cum sunt definite şi descrise mai sus) preţuri aplicabile entităţilor guvernamentale.</w:t>
      </w:r>
      <w:r w:rsidR="00B06E78">
        <w:t xml:space="preserve"> </w:t>
      </w:r>
      <w:r>
        <w:t>Sub rezerva acestor cerinţe suplimentare privind eligibilitatea, astfel cum pot fi prevăzute într-un contract de licenţiere de volum, organizaţiile eligibile se califică în vederea primirii (1) nivelului D al preţurilor în baza programelor de licenţiere de volum Enterprise, Enterprise Subscription, Select sau Select Plus ori (2) altor reduceri care pot fi disponibile în baza altor programe Microsoft de licenţiere de volum.</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640B2" w14:textId="77777777" w:rsidR="00636ED9" w:rsidRDefault="00636ED9" w:rsidP="00CF4E9C">
      <w:pPr>
        <w:spacing w:before="0"/>
      </w:pPr>
      <w:r>
        <w:separator/>
      </w:r>
    </w:p>
  </w:endnote>
  <w:endnote w:type="continuationSeparator" w:id="0">
    <w:p w14:paraId="7ACFEB26" w14:textId="77777777" w:rsidR="00636ED9" w:rsidRDefault="00636ED9"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7156" w14:textId="77777777" w:rsidR="00DB51A7" w:rsidRDefault="00DB5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40"/>
    </w:tblGrid>
    <w:tr w:rsidR="00AD122F" w:rsidRPr="009615FF" w14:paraId="14283CB2" w14:textId="77777777" w:rsidTr="00A74B65">
      <w:trPr>
        <w:jc w:val="center"/>
      </w:trPr>
      <w:tc>
        <w:tcPr>
          <w:tcW w:w="4679" w:type="dxa"/>
        </w:tcPr>
        <w:p w14:paraId="14283CB0" w14:textId="77777777" w:rsidR="0006204C" w:rsidRPr="009615FF" w:rsidRDefault="009615FF" w:rsidP="00612072">
          <w:pPr>
            <w:pStyle w:val="Footer"/>
            <w:rPr>
              <w:rStyle w:val="LogoportDoNotTranslate"/>
              <w:rFonts w:ascii="Arial" w:hAnsi="Arial" w:cs="Arial"/>
              <w:color w:val="auto"/>
              <w:sz w:val="16"/>
              <w:szCs w:val="16"/>
            </w:rPr>
          </w:pPr>
          <w:r w:rsidRPr="009615FF">
            <w:rPr>
              <w:rStyle w:val="LogoportDoNotTranslate"/>
              <w:rFonts w:ascii="Arial" w:hAnsi="Arial" w:cs="Arial"/>
              <w:color w:val="auto"/>
              <w:sz w:val="16"/>
              <w:szCs w:val="16"/>
            </w:rPr>
            <w:t>GovEligibilityDef(EMEA)(RON</w:t>
          </w:r>
          <w:r w:rsidR="0006204C" w:rsidRPr="009615FF">
            <w:rPr>
              <w:rStyle w:val="LogoportDoNotTranslate"/>
              <w:rFonts w:ascii="Arial" w:hAnsi="Arial" w:cs="Arial"/>
              <w:color w:val="auto"/>
              <w:sz w:val="16"/>
              <w:szCs w:val="16"/>
            </w:rPr>
            <w:t>)(Nov2014)</w:t>
          </w:r>
        </w:p>
      </w:tc>
      <w:tc>
        <w:tcPr>
          <w:tcW w:w="4681" w:type="dxa"/>
        </w:tcPr>
        <w:p w14:paraId="14283CB1" w14:textId="7EB788BA" w:rsidR="0006204C" w:rsidRPr="009615FF" w:rsidRDefault="0006204C" w:rsidP="00612072">
          <w:pPr>
            <w:pStyle w:val="Footer"/>
            <w:jc w:val="right"/>
            <w:rPr>
              <w:rStyle w:val="LogoportDoNotTranslate"/>
              <w:rFonts w:ascii="Arial" w:hAnsi="Arial" w:cs="Arial"/>
              <w:color w:val="auto"/>
              <w:sz w:val="16"/>
              <w:szCs w:val="16"/>
            </w:rPr>
          </w:pPr>
          <w:r w:rsidRPr="009615FF">
            <w:rPr>
              <w:rStyle w:val="LogoportDoNotTranslate"/>
              <w:rFonts w:ascii="Arial" w:hAnsi="Arial" w:cs="Arial"/>
              <w:color w:val="auto"/>
              <w:sz w:val="16"/>
              <w:szCs w:val="16"/>
            </w:rPr>
            <w:t xml:space="preserve">Page </w:t>
          </w:r>
          <w:r w:rsidRPr="009615FF">
            <w:rPr>
              <w:rStyle w:val="LogoportDoNotTranslate"/>
              <w:rFonts w:ascii="Arial" w:hAnsi="Arial" w:cs="Arial"/>
              <w:color w:val="auto"/>
              <w:sz w:val="16"/>
              <w:szCs w:val="16"/>
            </w:rPr>
            <w:fldChar w:fldCharType="begin"/>
          </w:r>
          <w:r w:rsidRPr="009615FF">
            <w:rPr>
              <w:rStyle w:val="LogoportDoNotTranslate"/>
              <w:rFonts w:ascii="Arial" w:hAnsi="Arial" w:cs="Arial"/>
              <w:color w:val="auto"/>
              <w:sz w:val="16"/>
              <w:szCs w:val="16"/>
            </w:rPr>
            <w:instrText xml:space="preserve"> PAGE  \* Arabic  \* MERGEFORMAT </w:instrText>
          </w:r>
          <w:r w:rsidRPr="009615FF">
            <w:rPr>
              <w:rStyle w:val="LogoportDoNotTranslate"/>
              <w:rFonts w:ascii="Arial" w:hAnsi="Arial" w:cs="Arial"/>
              <w:color w:val="auto"/>
              <w:sz w:val="16"/>
              <w:szCs w:val="16"/>
            </w:rPr>
            <w:fldChar w:fldCharType="separate"/>
          </w:r>
          <w:r w:rsidR="005B1112">
            <w:rPr>
              <w:rStyle w:val="LogoportDoNotTranslate"/>
              <w:rFonts w:ascii="Arial" w:hAnsi="Arial" w:cs="Arial"/>
              <w:noProof/>
              <w:color w:val="auto"/>
              <w:sz w:val="16"/>
              <w:szCs w:val="16"/>
            </w:rPr>
            <w:t>2</w:t>
          </w:r>
          <w:r w:rsidRPr="009615FF">
            <w:rPr>
              <w:sz w:val="16"/>
              <w:szCs w:val="16"/>
            </w:rPr>
            <w:fldChar w:fldCharType="end"/>
          </w:r>
          <w:r w:rsidRPr="009615FF">
            <w:rPr>
              <w:rStyle w:val="LogoportDoNotTranslate"/>
              <w:rFonts w:ascii="Arial" w:hAnsi="Arial" w:cs="Arial"/>
              <w:color w:val="auto"/>
              <w:sz w:val="16"/>
              <w:szCs w:val="16"/>
            </w:rPr>
            <w:t xml:space="preserve"> of </w:t>
          </w:r>
          <w:r w:rsidR="003A52EF" w:rsidRPr="009615FF">
            <w:fldChar w:fldCharType="begin"/>
          </w:r>
          <w:r w:rsidR="003A52EF" w:rsidRPr="009615FF">
            <w:rPr>
              <w:sz w:val="16"/>
              <w:szCs w:val="16"/>
            </w:rPr>
            <w:instrText xml:space="preserve"> NUMPAGES  \* Arabic  \* MERGEFORMAT </w:instrText>
          </w:r>
          <w:r w:rsidR="003A52EF" w:rsidRPr="009615FF">
            <w:fldChar w:fldCharType="separate"/>
          </w:r>
          <w:r w:rsidR="005B1112" w:rsidRPr="005B1112">
            <w:rPr>
              <w:rStyle w:val="LogoportDoNotTranslate"/>
              <w:rFonts w:ascii="Arial" w:hAnsi="Arial" w:cs="Arial"/>
              <w:noProof/>
              <w:color w:val="auto"/>
              <w:sz w:val="16"/>
              <w:szCs w:val="16"/>
            </w:rPr>
            <w:t>2</w:t>
          </w:r>
          <w:r w:rsidR="003A52EF" w:rsidRPr="009615FF">
            <w:rPr>
              <w:rStyle w:val="LogoportDoNotTranslate"/>
              <w:rFonts w:ascii="Arial" w:hAnsi="Arial" w:cs="Arial"/>
              <w:noProof/>
              <w:color w:val="auto"/>
              <w:sz w:val="16"/>
              <w:szCs w:val="16"/>
            </w:rPr>
            <w:fldChar w:fldCharType="end"/>
          </w:r>
        </w:p>
      </w:tc>
    </w:tr>
  </w:tbl>
  <w:p w14:paraId="14283CB3" w14:textId="77777777" w:rsidR="0006204C" w:rsidRPr="009615FF" w:rsidRDefault="0006204C">
    <w:pPr>
      <w:pStyle w:val="Footer"/>
      <w:rPr>
        <w:rStyle w:val="LogoportDoNotTranslate"/>
        <w:rFonts w:ascii="Arial" w:hAnsi="Arial" w:cs="Arial"/>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40"/>
    </w:tblGrid>
    <w:tr w:rsidR="00A24752" w:rsidRPr="00CB6A7C" w14:paraId="14283CB7" w14:textId="77777777" w:rsidTr="007A3C0E">
      <w:trPr>
        <w:jc w:val="center"/>
      </w:trPr>
      <w:tc>
        <w:tcPr>
          <w:tcW w:w="4679" w:type="dxa"/>
        </w:tcPr>
        <w:p w14:paraId="14283CB5" w14:textId="77777777" w:rsidR="00A24752" w:rsidRPr="00CB6A7C" w:rsidRDefault="00A24752" w:rsidP="007A3C0E">
          <w:pPr>
            <w:pStyle w:val="Footer"/>
            <w:rPr>
              <w:rStyle w:val="LogoportDoNotTranslate"/>
              <w:rFonts w:ascii="Arial" w:hAnsi="Arial" w:cs="Arial"/>
              <w:color w:val="auto"/>
              <w:sz w:val="16"/>
              <w:szCs w:val="16"/>
            </w:rPr>
          </w:pPr>
          <w:r w:rsidRPr="00CB6A7C">
            <w:rPr>
              <w:rStyle w:val="LogoportDoNotTranslate"/>
              <w:rFonts w:ascii="Arial" w:hAnsi="Arial" w:cs="Arial"/>
              <w:color w:val="auto"/>
              <w:sz w:val="16"/>
              <w:szCs w:val="16"/>
            </w:rPr>
            <w:t>GovEligibilityDef(EMEA)(RON)(Nov2014)</w:t>
          </w:r>
        </w:p>
      </w:tc>
      <w:tc>
        <w:tcPr>
          <w:tcW w:w="4681" w:type="dxa"/>
        </w:tcPr>
        <w:p w14:paraId="14283CB6" w14:textId="0E8EFB21" w:rsidR="00A24752" w:rsidRPr="00CB6A7C" w:rsidRDefault="00A24752" w:rsidP="007A3C0E">
          <w:pPr>
            <w:pStyle w:val="Footer"/>
            <w:jc w:val="right"/>
            <w:rPr>
              <w:rStyle w:val="LogoportDoNotTranslate"/>
              <w:rFonts w:ascii="Arial" w:hAnsi="Arial" w:cs="Arial"/>
              <w:color w:val="auto"/>
              <w:sz w:val="16"/>
              <w:szCs w:val="16"/>
            </w:rPr>
          </w:pPr>
          <w:r w:rsidRPr="00CB6A7C">
            <w:rPr>
              <w:rStyle w:val="LogoportDoNotTranslate"/>
              <w:rFonts w:ascii="Arial" w:hAnsi="Arial" w:cs="Arial"/>
              <w:color w:val="auto"/>
              <w:sz w:val="16"/>
              <w:szCs w:val="16"/>
            </w:rPr>
            <w:t xml:space="preserve">Page </w:t>
          </w:r>
          <w:r w:rsidRPr="00CB6A7C">
            <w:rPr>
              <w:rStyle w:val="LogoportDoNotTranslate"/>
              <w:rFonts w:ascii="Arial" w:hAnsi="Arial" w:cs="Arial"/>
              <w:color w:val="auto"/>
              <w:sz w:val="16"/>
              <w:szCs w:val="16"/>
            </w:rPr>
            <w:fldChar w:fldCharType="begin"/>
          </w:r>
          <w:r w:rsidRPr="00CB6A7C">
            <w:rPr>
              <w:rStyle w:val="LogoportDoNotTranslate"/>
              <w:rFonts w:ascii="Arial" w:hAnsi="Arial" w:cs="Arial"/>
              <w:color w:val="auto"/>
              <w:sz w:val="16"/>
              <w:szCs w:val="16"/>
            </w:rPr>
            <w:instrText xml:space="preserve"> PAGE  \* Arabic  \* MERGEFORMAT </w:instrText>
          </w:r>
          <w:r w:rsidRPr="00CB6A7C">
            <w:rPr>
              <w:rStyle w:val="LogoportDoNotTranslate"/>
              <w:rFonts w:ascii="Arial" w:hAnsi="Arial" w:cs="Arial"/>
              <w:color w:val="auto"/>
              <w:sz w:val="16"/>
              <w:szCs w:val="16"/>
            </w:rPr>
            <w:fldChar w:fldCharType="separate"/>
          </w:r>
          <w:r w:rsidR="005B1112">
            <w:rPr>
              <w:rStyle w:val="LogoportDoNotTranslate"/>
              <w:rFonts w:ascii="Arial" w:hAnsi="Arial" w:cs="Arial"/>
              <w:noProof/>
              <w:color w:val="auto"/>
              <w:sz w:val="16"/>
              <w:szCs w:val="16"/>
            </w:rPr>
            <w:t>1</w:t>
          </w:r>
          <w:r w:rsidRPr="00CB6A7C">
            <w:rPr>
              <w:sz w:val="16"/>
              <w:szCs w:val="16"/>
            </w:rPr>
            <w:fldChar w:fldCharType="end"/>
          </w:r>
          <w:r w:rsidRPr="00CB6A7C">
            <w:rPr>
              <w:rStyle w:val="LogoportDoNotTranslate"/>
              <w:rFonts w:ascii="Arial" w:hAnsi="Arial" w:cs="Arial"/>
              <w:color w:val="auto"/>
              <w:sz w:val="16"/>
              <w:szCs w:val="16"/>
            </w:rPr>
            <w:t xml:space="preserve"> of </w:t>
          </w:r>
          <w:r w:rsidRPr="00CB6A7C">
            <w:fldChar w:fldCharType="begin"/>
          </w:r>
          <w:r w:rsidRPr="00CB6A7C">
            <w:rPr>
              <w:sz w:val="16"/>
              <w:szCs w:val="16"/>
            </w:rPr>
            <w:instrText xml:space="preserve"> NUMPAGES  \* Arabic  \* MERGEFORMAT </w:instrText>
          </w:r>
          <w:r w:rsidRPr="00CB6A7C">
            <w:fldChar w:fldCharType="separate"/>
          </w:r>
          <w:r w:rsidR="005B1112" w:rsidRPr="005B1112">
            <w:rPr>
              <w:rStyle w:val="LogoportDoNotTranslate"/>
              <w:rFonts w:ascii="Arial" w:hAnsi="Arial" w:cs="Arial"/>
              <w:noProof/>
              <w:color w:val="auto"/>
              <w:sz w:val="16"/>
              <w:szCs w:val="16"/>
            </w:rPr>
            <w:t>2</w:t>
          </w:r>
          <w:r w:rsidRPr="00CB6A7C">
            <w:rPr>
              <w:rStyle w:val="LogoportDoNotTranslate"/>
              <w:rFonts w:ascii="Arial" w:hAnsi="Arial" w:cs="Arial"/>
              <w:noProof/>
              <w:color w:val="auto"/>
              <w:sz w:val="16"/>
              <w:szCs w:val="16"/>
            </w:rPr>
            <w:fldChar w:fldCharType="end"/>
          </w:r>
        </w:p>
      </w:tc>
    </w:tr>
  </w:tbl>
  <w:p w14:paraId="14283CB8" w14:textId="77777777" w:rsidR="00A24752" w:rsidRPr="00CB6A7C" w:rsidRDefault="00A24752" w:rsidP="00A24752">
    <w:pPr>
      <w:pStyle w:val="Footer"/>
      <w:rPr>
        <w:rStyle w:val="LogoportDoNotTranslate"/>
        <w:rFonts w:ascii="Arial" w:hAnsi="Arial" w:cs="Arial"/>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DC664" w14:textId="77777777" w:rsidR="00636ED9" w:rsidRDefault="00636ED9" w:rsidP="00CF4E9C">
      <w:pPr>
        <w:spacing w:before="0"/>
      </w:pPr>
      <w:r>
        <w:separator/>
      </w:r>
    </w:p>
  </w:footnote>
  <w:footnote w:type="continuationSeparator" w:id="0">
    <w:p w14:paraId="34FF10A4" w14:textId="77777777" w:rsidR="00636ED9" w:rsidRDefault="00636ED9" w:rsidP="00CF4E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3CAE" w14:textId="77777777" w:rsidR="00A74B65" w:rsidRDefault="005B1112">
    <w:pPr>
      <w:pStyle w:val="Header"/>
    </w:pPr>
    <w:r>
      <w:pict w14:anchorId="14283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3CAF" w14:textId="77777777" w:rsidR="00A74B65" w:rsidRDefault="005B1112">
    <w:pPr>
      <w:pStyle w:val="Header"/>
    </w:pPr>
    <w:r>
      <w:pict w14:anchorId="14283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3CB4" w14:textId="77777777" w:rsidR="005D37CF" w:rsidRDefault="005B1112" w:rsidP="00FB472C">
    <w:pPr>
      <w:pStyle w:val="Header"/>
      <w:jc w:val="left"/>
    </w:pPr>
    <w:r>
      <w:pict w14:anchorId="14283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zh-CN" w:bidi="ar-SA"/>
      </w:rPr>
      <w:drawing>
        <wp:inline distT="0" distB="0" distL="0" distR="0" wp14:anchorId="14283CBC" wp14:editId="14283CBD">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E9C"/>
    <w:rsid w:val="000024A9"/>
    <w:rsid w:val="0006204C"/>
    <w:rsid w:val="000829B7"/>
    <w:rsid w:val="000A6499"/>
    <w:rsid w:val="000C741E"/>
    <w:rsid w:val="000E2821"/>
    <w:rsid w:val="00105426"/>
    <w:rsid w:val="001263E5"/>
    <w:rsid w:val="00135C04"/>
    <w:rsid w:val="00165890"/>
    <w:rsid w:val="0017783A"/>
    <w:rsid w:val="001A4EAB"/>
    <w:rsid w:val="001C78D1"/>
    <w:rsid w:val="002034A1"/>
    <w:rsid w:val="0021192C"/>
    <w:rsid w:val="00254540"/>
    <w:rsid w:val="002B1126"/>
    <w:rsid w:val="002C7665"/>
    <w:rsid w:val="002D0B06"/>
    <w:rsid w:val="002F2434"/>
    <w:rsid w:val="00305443"/>
    <w:rsid w:val="00361066"/>
    <w:rsid w:val="00380578"/>
    <w:rsid w:val="00387A64"/>
    <w:rsid w:val="003A52EF"/>
    <w:rsid w:val="003A74D8"/>
    <w:rsid w:val="003B6DC6"/>
    <w:rsid w:val="0042245E"/>
    <w:rsid w:val="0044485A"/>
    <w:rsid w:val="004628FE"/>
    <w:rsid w:val="004735D0"/>
    <w:rsid w:val="00493CEC"/>
    <w:rsid w:val="004A701B"/>
    <w:rsid w:val="004B6ADE"/>
    <w:rsid w:val="005505EF"/>
    <w:rsid w:val="00590119"/>
    <w:rsid w:val="005B1112"/>
    <w:rsid w:val="005D37CF"/>
    <w:rsid w:val="005D760D"/>
    <w:rsid w:val="00622401"/>
    <w:rsid w:val="00636ED9"/>
    <w:rsid w:val="0064711A"/>
    <w:rsid w:val="006E293E"/>
    <w:rsid w:val="006F214E"/>
    <w:rsid w:val="007C13AD"/>
    <w:rsid w:val="007D0A9D"/>
    <w:rsid w:val="007E1AD7"/>
    <w:rsid w:val="007E463F"/>
    <w:rsid w:val="00810E3F"/>
    <w:rsid w:val="00814D01"/>
    <w:rsid w:val="00837C81"/>
    <w:rsid w:val="00845DF2"/>
    <w:rsid w:val="0084628C"/>
    <w:rsid w:val="0084691D"/>
    <w:rsid w:val="00857479"/>
    <w:rsid w:val="00883E16"/>
    <w:rsid w:val="008A327A"/>
    <w:rsid w:val="008D739F"/>
    <w:rsid w:val="00921E07"/>
    <w:rsid w:val="009615FF"/>
    <w:rsid w:val="00962F52"/>
    <w:rsid w:val="00997BA6"/>
    <w:rsid w:val="009B1C45"/>
    <w:rsid w:val="009B4A1E"/>
    <w:rsid w:val="009E4D3C"/>
    <w:rsid w:val="009F6773"/>
    <w:rsid w:val="00A00760"/>
    <w:rsid w:val="00A12728"/>
    <w:rsid w:val="00A24752"/>
    <w:rsid w:val="00A561A9"/>
    <w:rsid w:val="00A74B65"/>
    <w:rsid w:val="00AA2506"/>
    <w:rsid w:val="00AA5A57"/>
    <w:rsid w:val="00AD122F"/>
    <w:rsid w:val="00AF0183"/>
    <w:rsid w:val="00AF2DB2"/>
    <w:rsid w:val="00B06E78"/>
    <w:rsid w:val="00B94022"/>
    <w:rsid w:val="00BB2686"/>
    <w:rsid w:val="00BF7180"/>
    <w:rsid w:val="00C71871"/>
    <w:rsid w:val="00CB6A7C"/>
    <w:rsid w:val="00CC305F"/>
    <w:rsid w:val="00CD6F8A"/>
    <w:rsid w:val="00CF4E9C"/>
    <w:rsid w:val="00D164EA"/>
    <w:rsid w:val="00D47475"/>
    <w:rsid w:val="00D760D9"/>
    <w:rsid w:val="00D767E6"/>
    <w:rsid w:val="00DB0E94"/>
    <w:rsid w:val="00DB51A7"/>
    <w:rsid w:val="00DD5691"/>
    <w:rsid w:val="00E02027"/>
    <w:rsid w:val="00E051DE"/>
    <w:rsid w:val="00E17EAA"/>
    <w:rsid w:val="00E223A5"/>
    <w:rsid w:val="00E24334"/>
    <w:rsid w:val="00E74F51"/>
    <w:rsid w:val="00E81596"/>
    <w:rsid w:val="00EE1A7E"/>
    <w:rsid w:val="00F24527"/>
    <w:rsid w:val="00F568D5"/>
    <w:rsid w:val="00F90738"/>
    <w:rsid w:val="00F9234D"/>
    <w:rsid w:val="00F9352D"/>
    <w:rsid w:val="00F93BB4"/>
    <w:rsid w:val="00F960E7"/>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283C8B"/>
  <w15:docId w15:val="{9CE2387C-F629-4983-8D79-E1F9EA7B6485}"/>
  <w:documentProtection w:edit="forms" w:enforcement="true" w:cryptProviderType="rsaFull" w:cryptAlgorithmClass="hash" w:cryptAlgorithmType="typeAny" w:cryptAlgorithmSid="4" w:cryptSpinCount="50000" w:hash="u3Sc3NtRD0cvBcHZ5ajQuqAH1Ok=" w:salt="H7XO+Ym+DRPknSU1alrwa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ro-RO" w:eastAsia="ro-RO" w:bidi="ro-RO"/>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7</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RON</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81fb6149-bd03-4162-9062-61aa17bb3890"/>
    <ds:schemaRef ds:uri="http://schemas.microsoft.com/office/2006/documentManagement/types"/>
    <ds:schemaRef ds:uri="http://purl.org/dc/elements/1.1/"/>
    <ds:schemaRef ds:uri="http://purl.org/dc/dcmitype/"/>
    <ds:schemaRef ds:uri="http://schemas.microsoft.com/office/infopath/2007/PartnerControls"/>
    <ds:schemaRef ds:uri="189805d2-9909-45db-b2d0-e7d5bdd543d0"/>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7D39228-9310-4B08-8BFD-DD164A56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6149-bd03-4162-9062-61aa17bb3890"/>
    <ds:schemaRef ds:uri="189805d2-9909-45db-b2d0-e7d5bdd54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Mark Mauermann</cp:lastModifiedBy>
  <cp:revision>24</cp:revision>
  <cp:lastPrinted>2014-09-29T15:43:00Z</cp:lastPrinted>
  <dcterms:created xsi:type="dcterms:W3CDTF">2014-09-29T15:37:00Z</dcterms:created>
  <dcterms:modified xsi:type="dcterms:W3CDTF">2017-11-14T17:27:00Z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IsMyDocuments">
    <vt:bool>true</vt:bool>
  </property>
  <property fmtid="{D5CDD505-2E9C-101B-9397-08002B2CF9AE}" pid="9" name="TaxKeyword">
    <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marmau@microsoft.com</vt:lpwstr>
  </property>
  <property fmtid="{D5CDD505-2E9C-101B-9397-08002B2CF9AE}" pid="13" name="MSIP_Label_f42aa342-8706-4288-bd11-ebb85995028c_SetDate">
    <vt:lpwstr>2017-11-13T23:30:03.3420535Z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