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549" w:rsidRDefault="00987549" w:rsidP="00987549">
      <w:pPr>
        <w:spacing w:before="240"/>
        <w:jc w:val="left"/>
        <w:rPr>
          <w:sz w:val="36"/>
          <w:lang w:val="sk-SK"/>
        </w:rPr>
        <w:sectPr w:rsidR="00987549" w:rsidSect="00337E9C">
          <w:headerReference w:type="default" r:id="rId6"/>
          <w:footerReference w:type="default" r:id="rId7"/>
          <w:headerReference w:type="first" r:id="rId8"/>
          <w:footerReference w:type="first" r:id="rId9"/>
          <w:pgSz w:w="11907" w:h="16839" w:code="9"/>
          <w:pgMar w:top="1440" w:right="1440" w:bottom="1440" w:left="1440" w:header="576" w:footer="432" w:gutter="0"/>
          <w:cols w:space="720"/>
          <w:titlePg/>
          <w:docGrid w:linePitch="360"/>
        </w:sectPr>
      </w:pPr>
      <w:bookmarkStart w:id="0" w:name="_GoBack"/>
      <w:bookmarkEnd w:id="0"/>
      <w:r>
        <w:rPr>
          <w:color w:val="000000"/>
          <w:sz w:val="36"/>
          <w:lang w:val="sk-SK"/>
        </w:rPr>
        <w:t xml:space="preserve">Definícia spoločnosti Microsoft pre </w:t>
      </w:r>
      <w:r>
        <w:rPr>
          <w:sz w:val="36"/>
          <w:lang w:val="sk-SK"/>
        </w:rPr>
        <w:t>oprávnený subjekt verejného sektora (EMEA)</w:t>
      </w:r>
    </w:p>
    <w:p w:rsidR="00987549" w:rsidRPr="00694B10" w:rsidRDefault="00987549" w:rsidP="00987549">
      <w:pPr>
        <w:spacing w:before="360" w:after="120"/>
        <w:rPr>
          <w:lang w:val="it-IT"/>
        </w:rPr>
      </w:pPr>
      <w:r>
        <w:rPr>
          <w:lang w:val="sk-SK"/>
        </w:rPr>
        <w:lastRenderedPageBreak/>
        <w:t>Organizácie verejného sektora, ktoré patria do kategórií definovaných a opísaných nižšie alebo spĺňajú príslušné kritériá, sú oprávnené na účasť v multilicenčných programoch spoločnosti Microsoft špecificky navrhnutých pre štát („oprávnené subjekty“).</w:t>
      </w:r>
      <w:r w:rsidRPr="00694B10">
        <w:rPr>
          <w:lang w:val="it-IT"/>
        </w:rPr>
        <w:t xml:space="preserve"> </w:t>
      </w:r>
      <w:r>
        <w:rPr>
          <w:lang w:val="sk-SK"/>
        </w:rPr>
        <w:t>„Oprávnený subjekt“ znamená ľubovoľnú neziskovú organizáciu, ktorá patrí do niektorej z nasledujúcich kategórií:</w:t>
      </w:r>
      <w:r w:rsidRPr="00694B10">
        <w:rPr>
          <w:lang w:val="it-IT"/>
        </w:rPr>
        <w:t xml:space="preserve"> </w:t>
      </w:r>
    </w:p>
    <w:tbl>
      <w:tblPr>
        <w:tblW w:w="9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1"/>
        <w:gridCol w:w="6688"/>
      </w:tblGrid>
      <w:tr w:rsidR="00987549" w:rsidRPr="00883E16" w:rsidTr="006A7786">
        <w:trPr>
          <w:cantSplit/>
          <w:tblHeader/>
          <w:jc w:val="center"/>
        </w:trPr>
        <w:tc>
          <w:tcPr>
            <w:tcW w:w="9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87549" w:rsidRPr="00D66A04" w:rsidRDefault="00987549" w:rsidP="006A7786">
            <w:pPr>
              <w:keepNext/>
              <w:spacing w:after="120"/>
              <w:rPr>
                <w:b/>
                <w:bCs/>
                <w:color w:val="FFFFFF"/>
              </w:rPr>
            </w:pPr>
            <w:r w:rsidRPr="00D66A04">
              <w:rPr>
                <w:b/>
                <w:bCs/>
                <w:color w:val="FFFFFF"/>
                <w:lang w:val="sk-SK"/>
              </w:rPr>
              <w:t>Kategórie</w:t>
            </w:r>
          </w:p>
        </w:tc>
      </w:tr>
      <w:tr w:rsidR="00987549" w:rsidRPr="00883E16" w:rsidTr="006A7786">
        <w:trPr>
          <w:cantSplit/>
          <w:tblHeader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49" w:rsidRPr="00D66A04" w:rsidRDefault="00987549" w:rsidP="006A7786">
            <w:pPr>
              <w:spacing w:after="120"/>
              <w:jc w:val="left"/>
              <w:rPr>
                <w:b/>
                <w:bCs/>
              </w:rPr>
            </w:pPr>
            <w:r w:rsidRPr="00D66A04">
              <w:rPr>
                <w:b/>
                <w:bCs/>
                <w:lang w:val="sk-SK"/>
              </w:rPr>
              <w:t>A. Nadnárodné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49" w:rsidRPr="00883E16" w:rsidRDefault="00987549" w:rsidP="006A7786">
            <w:pPr>
              <w:spacing w:after="120"/>
            </w:pPr>
            <w:r>
              <w:rPr>
                <w:lang w:val="sk-SK"/>
              </w:rPr>
              <w:t>Všetky organizácie alebo inštitúcie, ktoré majú zjavnú regulačnú alebo legislatívnu právomoc nad viacerými národnými vládami.</w:t>
            </w:r>
          </w:p>
        </w:tc>
      </w:tr>
      <w:tr w:rsidR="00987549" w:rsidRPr="00883E16" w:rsidTr="006A7786">
        <w:trPr>
          <w:cantSplit/>
          <w:tblHeader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49" w:rsidRPr="00D66A04" w:rsidRDefault="00987549" w:rsidP="006A7786">
            <w:pPr>
              <w:spacing w:after="120"/>
              <w:jc w:val="left"/>
              <w:rPr>
                <w:b/>
                <w:bCs/>
              </w:rPr>
            </w:pPr>
            <w:r w:rsidRPr="00D66A04">
              <w:rPr>
                <w:b/>
                <w:bCs/>
                <w:lang w:val="sk-SK"/>
              </w:rPr>
              <w:t>B. Národné alebo federálne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49" w:rsidRPr="00883E16" w:rsidRDefault="00987549" w:rsidP="006A7786">
            <w:pPr>
              <w:spacing w:after="120"/>
            </w:pPr>
            <w:r w:rsidRPr="00883E16">
              <w:rPr>
                <w:lang w:val="sk-SK"/>
              </w:rPr>
              <w:t>Všetky vládne organizácie alebo inštitúcie, ktoré sú spravované na federálnej alebo národnej úrovni a na ktoré sa preniesla právomoc vládnuť nad štátom alebo krajinou.</w:t>
            </w:r>
            <w:r>
              <w:t xml:space="preserve"> </w:t>
            </w:r>
            <w:r w:rsidRPr="00883E16">
              <w:rPr>
                <w:lang w:val="sk-SK"/>
              </w:rPr>
              <w:t>Patria sem parlamentné zhromaždenia a súdne orgány s právomocami určovať právne princípy alebo o nich rozhodovať.</w:t>
            </w:r>
          </w:p>
        </w:tc>
      </w:tr>
      <w:tr w:rsidR="00987549" w:rsidRPr="00B200EE" w:rsidTr="006A7786">
        <w:trPr>
          <w:cantSplit/>
          <w:tblHeader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49" w:rsidRPr="00694B10" w:rsidRDefault="00987549" w:rsidP="006A7786">
            <w:pPr>
              <w:spacing w:after="120"/>
              <w:jc w:val="left"/>
              <w:rPr>
                <w:b/>
                <w:bCs/>
                <w:lang w:val="it-IT"/>
              </w:rPr>
            </w:pPr>
            <w:r>
              <w:rPr>
                <w:b/>
                <w:lang w:val="sk-SK"/>
              </w:rPr>
              <w:t>C. Regionálne, štátne alebo oblastné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49" w:rsidRPr="00694B10" w:rsidRDefault="00987549" w:rsidP="006A7786">
            <w:pPr>
              <w:spacing w:after="120"/>
              <w:rPr>
                <w:lang w:val="it-IT"/>
              </w:rPr>
            </w:pPr>
            <w:r w:rsidRPr="00883E16">
              <w:rPr>
                <w:lang w:val="sk-SK"/>
              </w:rPr>
              <w:t>Prostredná vrstva vlády, ktorá nezahŕňa celú krajinu, ale predstavuje viacero oblastí miestnej samosprávy s regulačnou jurisdikciou.</w:t>
            </w:r>
            <w:r w:rsidRPr="00694B10">
              <w:rPr>
                <w:lang w:val="it-IT"/>
              </w:rPr>
              <w:t xml:space="preserve"> </w:t>
            </w:r>
            <w:r w:rsidRPr="00883E16">
              <w:rPr>
                <w:lang w:val="sk-SK"/>
              </w:rPr>
              <w:t>Patria sem (1) všetky vládne organizácie alebo inštitúcie, ktoré sú spravované na štátnej alebo regionálnej úrovni bez ohľadu na jej názov:</w:t>
            </w:r>
            <w:r w:rsidRPr="00694B10">
              <w:rPr>
                <w:lang w:val="it-IT"/>
              </w:rPr>
              <w:t xml:space="preserve"> </w:t>
            </w:r>
            <w:r>
              <w:rPr>
                <w:lang w:val="sk-SK"/>
              </w:rPr>
              <w:t>regióny, oblasti, štáty, kraje alebo provincie, a (2) všetky oddelenia, parlamentné zhromaždenia, regulačné autority a súdne orgány s právomocami určovať právne princípy alebo rozhodovať o právnych princípoch v príslušnom regióne, oblasti, štáte, kraji alebo provincii.</w:t>
            </w:r>
          </w:p>
        </w:tc>
      </w:tr>
      <w:tr w:rsidR="00987549" w:rsidRPr="00883E16" w:rsidTr="006A7786">
        <w:trPr>
          <w:cantSplit/>
          <w:tblHeader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49" w:rsidRPr="00D66A04" w:rsidRDefault="00987549" w:rsidP="006A7786">
            <w:pPr>
              <w:spacing w:after="120"/>
              <w:jc w:val="left"/>
              <w:rPr>
                <w:b/>
                <w:bCs/>
              </w:rPr>
            </w:pPr>
            <w:r>
              <w:rPr>
                <w:b/>
                <w:lang w:val="sk-SK"/>
              </w:rPr>
              <w:t>D. Lokálne alebo municipálne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49" w:rsidRPr="00883E16" w:rsidRDefault="00987549" w:rsidP="006A7786">
            <w:pPr>
              <w:spacing w:after="120"/>
            </w:pPr>
            <w:r w:rsidRPr="00883E16">
              <w:rPr>
                <w:lang w:val="sk-SK"/>
              </w:rPr>
              <w:t>Najnižšia úroveň vlády a súvisiacej administratívy.</w:t>
            </w:r>
            <w:r w:rsidRPr="00883E16">
              <w:t xml:space="preserve"> </w:t>
            </w:r>
            <w:r w:rsidRPr="00883E16">
              <w:rPr>
                <w:lang w:val="sk-SK"/>
              </w:rPr>
              <w:t>Patria sem všetky vládne organizácie alebo inštitúcie, ktoré sú spravované na mestskej, okresnej, municipálnej, obecnej, obvodnej, komunálnej úrovni a na úrovni mestských štvrtí (zaoberajúce sa napríklad rekreačnými aktivitami, zberom odpadu, požiarnou službou, kontrolou miestnych služieb a implementáciou niektorých národných služieb).</w:t>
            </w:r>
          </w:p>
        </w:tc>
      </w:tr>
      <w:tr w:rsidR="00987549" w:rsidRPr="00883E16" w:rsidTr="006A7786">
        <w:trPr>
          <w:cantSplit/>
          <w:tblHeader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49" w:rsidRPr="00D66A04" w:rsidRDefault="00987549" w:rsidP="006A7786">
            <w:pPr>
              <w:spacing w:after="120"/>
              <w:jc w:val="left"/>
              <w:rPr>
                <w:b/>
                <w:bCs/>
              </w:rPr>
            </w:pPr>
            <w:r w:rsidRPr="00D66A04">
              <w:rPr>
                <w:b/>
                <w:bCs/>
                <w:lang w:val="sk-SK"/>
              </w:rPr>
              <w:t>E. Zdravotnícke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49" w:rsidRPr="00883E16" w:rsidRDefault="00987549" w:rsidP="006A7786">
            <w:pPr>
              <w:spacing w:after="120"/>
            </w:pPr>
            <w:r w:rsidRPr="00883E16">
              <w:rPr>
                <w:lang w:val="sk-SK"/>
              </w:rPr>
              <w:t>Ľubovoľné vládne organizácie alebo inštitúcie, ktoré poskytujú služby a poistenie zdravotnej starostlivosti, určujú zásady poskytovania zdravotnej starostlivosti alebo o nich rozhodujú na úrovni štátu alebo krajiny, financujú služby a poistenie zdravotnej starostlivosti alebo majú regulačnú úlohu pri poskytovaní služieb a poistenia zdravotnej starostlivosti.</w:t>
            </w:r>
          </w:p>
        </w:tc>
      </w:tr>
      <w:tr w:rsidR="00987549" w:rsidRPr="00883E16" w:rsidTr="006A7786">
        <w:trPr>
          <w:cantSplit/>
          <w:tblHeader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49" w:rsidRPr="00D66A04" w:rsidRDefault="00987549" w:rsidP="006A7786">
            <w:pPr>
              <w:spacing w:after="120"/>
              <w:jc w:val="left"/>
              <w:rPr>
                <w:b/>
                <w:bCs/>
              </w:rPr>
            </w:pPr>
            <w:r w:rsidRPr="00D66A04">
              <w:rPr>
                <w:b/>
                <w:bCs/>
                <w:lang w:val="sk-SK"/>
              </w:rPr>
              <w:t>F. Ostatné vládne organizácie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49" w:rsidRPr="00883E16" w:rsidRDefault="00987549" w:rsidP="006A7786">
            <w:pPr>
              <w:spacing w:after="120"/>
            </w:pPr>
            <w:r w:rsidRPr="00883E16">
              <w:rPr>
                <w:lang w:val="sk-SK"/>
              </w:rPr>
              <w:t>Akákoľvek organizácia, ktorá sa individuálne zodpovedá medzinárodne uznanej vláde štátu a ktorú táto vláda výlučne ovláda.</w:t>
            </w:r>
          </w:p>
          <w:p w:rsidR="00987549" w:rsidRPr="00883E16" w:rsidRDefault="00987549" w:rsidP="006A7786">
            <w:pPr>
              <w:spacing w:before="0" w:after="120"/>
            </w:pPr>
            <w:r w:rsidRPr="00883E16">
              <w:rPr>
                <w:lang w:val="sk-SK"/>
              </w:rPr>
              <w:t>Ľubovoľná organizácia vytvorená na základe legislatívy na verejné účely, ktoré sú uvedené v príslušných splnomocňujúcich zákonoch alebo v článkoch týkajúcich sa pridruženia alebo cieľov tejto organizácie (napríklad štatutárne orgány, municipálne korporácie, vládne výskumné organizácie).</w:t>
            </w:r>
            <w:r w:rsidRPr="00883E16">
              <w:t xml:space="preserve"> </w:t>
            </w:r>
          </w:p>
        </w:tc>
      </w:tr>
    </w:tbl>
    <w:p w:rsidR="00987549" w:rsidRPr="00883E16" w:rsidRDefault="00987549" w:rsidP="00987549">
      <w:r w:rsidRPr="00883E16">
        <w:rPr>
          <w:lang w:val="sk-SK"/>
        </w:rPr>
        <w:t>Ak sa organizácia zaraďuje do niektorej z kategórií uvedených vyššie a funguje ako zisková organizácia, pomocou nasledujúcich doplnkových kritérií sa určí, či je oprávneným subjektom:</w:t>
      </w:r>
    </w:p>
    <w:p w:rsidR="00987549" w:rsidRPr="00883E16" w:rsidRDefault="00987549" w:rsidP="00987549">
      <w:pPr>
        <w:pStyle w:val="ListParagraph"/>
        <w:numPr>
          <w:ilvl w:val="0"/>
          <w:numId w:val="1"/>
        </w:numPr>
        <w:autoSpaceDE/>
        <w:autoSpaceDN/>
        <w:adjustRightInd/>
        <w:ind w:left="1080"/>
        <w:contextualSpacing w:val="0"/>
      </w:pPr>
      <w:r>
        <w:rPr>
          <w:lang w:val="sk-SK"/>
        </w:rPr>
        <w:t>Plynú jej príjmy alebo zisky výlučne do štátneho rozpočtu (alebo aj súkromným akcionárom)?</w:t>
      </w:r>
    </w:p>
    <w:p w:rsidR="00987549" w:rsidRPr="00883E16" w:rsidRDefault="00987549" w:rsidP="00987549">
      <w:pPr>
        <w:pStyle w:val="ListParagraph"/>
        <w:numPr>
          <w:ilvl w:val="0"/>
          <w:numId w:val="1"/>
        </w:numPr>
        <w:autoSpaceDE/>
        <w:autoSpaceDN/>
        <w:adjustRightInd/>
        <w:ind w:left="1080"/>
        <w:contextualSpacing w:val="0"/>
      </w:pPr>
      <w:r w:rsidRPr="00883E16">
        <w:rPr>
          <w:lang w:val="sk-SK"/>
        </w:rPr>
        <w:t>Je príslušná organizácia oslobodená od dane z príjmu?</w:t>
      </w:r>
    </w:p>
    <w:p w:rsidR="00987549" w:rsidRPr="00883E16" w:rsidRDefault="00987549" w:rsidP="00987549">
      <w:pPr>
        <w:pStyle w:val="ListParagraph"/>
        <w:numPr>
          <w:ilvl w:val="0"/>
          <w:numId w:val="1"/>
        </w:numPr>
        <w:autoSpaceDE/>
        <w:autoSpaceDN/>
        <w:adjustRightInd/>
        <w:ind w:left="1080"/>
        <w:contextualSpacing w:val="0"/>
      </w:pPr>
      <w:r>
        <w:rPr>
          <w:lang w:val="sk-SK"/>
        </w:rPr>
        <w:lastRenderedPageBreak/>
        <w:t>Je organizácia financovaná štátom z viac ako 50 % (tzn. získava menej ako 50 % svojich finančných prostriedkov z obchodných aktivít)?</w:t>
      </w:r>
    </w:p>
    <w:p w:rsidR="00987549" w:rsidRPr="00883E16" w:rsidRDefault="00987549" w:rsidP="00987549">
      <w:r w:rsidRPr="00883E16">
        <w:rPr>
          <w:lang w:val="sk-SK"/>
        </w:rPr>
        <w:t>Ak odpoveď na všetky tieto otázky je „áno“, potom je organizácia oprávneným subjektom.</w:t>
      </w:r>
      <w:r w:rsidRPr="00883E16">
        <w:t xml:space="preserve"> </w:t>
      </w:r>
      <w:r w:rsidRPr="00883E16">
        <w:rPr>
          <w:lang w:val="sk-SK"/>
        </w:rPr>
        <w:t>Ak</w:t>
      </w:r>
      <w:r>
        <w:rPr>
          <w:lang w:val="sk-SK"/>
        </w:rPr>
        <w:t> </w:t>
      </w:r>
      <w:r w:rsidRPr="00883E16">
        <w:rPr>
          <w:lang w:val="sk-SK"/>
        </w:rPr>
        <w:t>odpoveď na ktorúkoľvek otázku vyššie je „nie“, potom organizácia nie je oprávneným subjektom.</w:t>
      </w:r>
      <w:r>
        <w:t xml:space="preserve"> </w:t>
      </w:r>
      <w:r>
        <w:rPr>
          <w:lang w:val="sk-SK"/>
        </w:rPr>
        <w:t>Vo všeobecnosti platí, že korporácie, podniky a organizácie vo vlastníctve štátu (bez ohľadu na to, či sú akciovými spoločnosťami) vykonávajúce obchodné aktivity (napríklad telekomunikačné spoločnosti, banky, prepravné spoločnosti a pod.) nie sú oprávnenými subjektmi.</w:t>
      </w:r>
      <w:r>
        <w:t xml:space="preserve"> </w:t>
      </w:r>
    </w:p>
    <w:p w:rsidR="00987549" w:rsidRPr="00883E16" w:rsidRDefault="00987549" w:rsidP="00987549">
      <w:r w:rsidRPr="00883E16">
        <w:rPr>
          <w:lang w:val="sk-SK"/>
        </w:rPr>
        <w:t>Ak vláda krajiny zverejňuje zoznam organizácií verejného sektora, tieto organizácie sa považujú za oprávnené subjekty iba v prípade, že spĺňajú kritériá stanovené v tejto definícii.</w:t>
      </w:r>
      <w:r w:rsidRPr="00883E16">
        <w:t xml:space="preserve"> </w:t>
      </w:r>
    </w:p>
    <w:p w:rsidR="00987549" w:rsidRPr="00883E16" w:rsidRDefault="00987549" w:rsidP="00987549">
      <w:r>
        <w:rPr>
          <w:lang w:val="sk-SK"/>
        </w:rPr>
        <w:t>Ak po podpísaní licenčnej zmluvy stratí organizácia štatút oprávnenej vládnej organizácie, smie pokračovať v používaní licencovaných kópií, ale nesmie predkladať žiadne nové objednávky na licencie na základe programov Microsoft Government License.</w:t>
      </w:r>
      <w:r w:rsidRPr="00883E16">
        <w:t xml:space="preserve"> </w:t>
      </w:r>
    </w:p>
    <w:p w:rsidR="00987549" w:rsidRPr="00883E16" w:rsidRDefault="00987549" w:rsidP="00987549">
      <w:r>
        <w:rPr>
          <w:lang w:val="sk-SK"/>
        </w:rPr>
        <w:t>Množstvovú zníženú cenovú hladinu pre oprávnené subjekty v konkrétnej krajine používa spoločnosť Microsoft v prípade, ak súhrnné objednávky licencií na základe multilicenčných programov spoločnosti Microsoft, ktorých sa organizácie zúčastňujú, dosahujú najmenej ekvivalent 15 000 počítačov alebo 75 000 bodov na jednu skupinu produktov.</w:t>
      </w:r>
      <w:r>
        <w:t xml:space="preserve"> </w:t>
      </w:r>
      <w:r>
        <w:rPr>
          <w:lang w:val="sk-SK"/>
        </w:rPr>
        <w:t>Na základe tohto množstva získavajú takéto subjekty oprávnenie na (1) cenovú hladinu D v rámci programu Enterprise, Enterprise Subscription, Select alebo Select Plus, ako je definovaná v príslušnej prihláške alebo ekvivalentnej zmluve, alebo (2) akúkoľvek inú špecifickú množstvovú zníženú cenovú hladinu, ktorá je k dispozícii oprávneným subjektom na základe multilicenčného programu spoločnosti Microsoft.</w:t>
      </w:r>
    </w:p>
    <w:p w:rsidR="00987549" w:rsidRPr="00883E16" w:rsidRDefault="00987549" w:rsidP="00987549">
      <w:r>
        <w:rPr>
          <w:lang w:val="sk-SK"/>
        </w:rPr>
        <w:t>Takáto množstvová znížená cenová hladina je obmedzená na oprávnené subjekty za predpokladu, že znížená cenová hladina je dostupná na základe pôvodného multilicenčného programu spoločnosti Microsoft a zmluvy.</w:t>
      </w:r>
    </w:p>
    <w:p w:rsidR="00486EC8" w:rsidRDefault="00486EC8"/>
    <w:sectPr w:rsidR="00486EC8" w:rsidSect="00C90814">
      <w:type w:val="continuous"/>
      <w:pgSz w:w="11907" w:h="16839" w:code="9"/>
      <w:pgMar w:top="1440" w:right="1440" w:bottom="1440" w:left="1440" w:header="720" w:footer="43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29" w:type="dxa"/>
      <w:jc w:val="center"/>
      <w:tblLook w:val="04A0" w:firstRow="1" w:lastRow="0" w:firstColumn="1" w:lastColumn="0" w:noHBand="0" w:noVBand="1"/>
    </w:tblPr>
    <w:tblGrid>
      <w:gridCol w:w="4563"/>
      <w:gridCol w:w="4466"/>
    </w:tblGrid>
    <w:tr w:rsidR="00DF19A9" w:rsidRPr="00DF19A9" w:rsidTr="00DF19A9">
      <w:trPr>
        <w:jc w:val="center"/>
      </w:trPr>
      <w:tc>
        <w:tcPr>
          <w:tcW w:w="4563" w:type="dxa"/>
        </w:tcPr>
        <w:p w:rsidR="00DF19A9" w:rsidRPr="00DF19A9" w:rsidRDefault="0052234A" w:rsidP="00F015E4">
          <w:pPr>
            <w:pStyle w:val="Footer"/>
            <w:rPr>
              <w:sz w:val="16"/>
              <w:szCs w:val="16"/>
            </w:rPr>
          </w:pPr>
          <w:r w:rsidRPr="00DF19A9">
            <w:rPr>
              <w:sz w:val="16"/>
              <w:szCs w:val="16"/>
            </w:rPr>
            <w:t>GovEligibilityDef(EMEA)(</w:t>
          </w:r>
          <w:r>
            <w:rPr>
              <w:sz w:val="16"/>
              <w:szCs w:val="16"/>
            </w:rPr>
            <w:t>SLK</w:t>
          </w:r>
          <w:r w:rsidRPr="00DF19A9">
            <w:rPr>
              <w:sz w:val="16"/>
              <w:szCs w:val="16"/>
            </w:rPr>
            <w:t>)(Oct2012)</w:t>
          </w:r>
        </w:p>
      </w:tc>
      <w:tc>
        <w:tcPr>
          <w:tcW w:w="4466" w:type="dxa"/>
        </w:tcPr>
        <w:p w:rsidR="00DF19A9" w:rsidRPr="00DF19A9" w:rsidRDefault="0052234A" w:rsidP="005C1761">
          <w:pPr>
            <w:pStyle w:val="Footer"/>
            <w:jc w:val="right"/>
            <w:rPr>
              <w:sz w:val="16"/>
              <w:szCs w:val="16"/>
            </w:rPr>
          </w:pPr>
          <w:r w:rsidRPr="00DF19A9">
            <w:rPr>
              <w:sz w:val="16"/>
              <w:szCs w:val="16"/>
            </w:rPr>
            <w:t xml:space="preserve">Page </w:t>
          </w:r>
          <w:r w:rsidRPr="00DF19A9">
            <w:rPr>
              <w:sz w:val="16"/>
              <w:szCs w:val="16"/>
            </w:rPr>
            <w:fldChar w:fldCharType="begin"/>
          </w:r>
          <w:r w:rsidRPr="00DF19A9">
            <w:rPr>
              <w:sz w:val="16"/>
              <w:szCs w:val="16"/>
            </w:rPr>
            <w:instrText xml:space="preserve"> PAGE  \* Arabic  \* MERGEFORMAT </w:instrText>
          </w:r>
          <w:r w:rsidRPr="00DF19A9">
            <w:rPr>
              <w:sz w:val="16"/>
              <w:szCs w:val="16"/>
            </w:rPr>
            <w:fldChar w:fldCharType="separate"/>
          </w:r>
          <w:r w:rsidR="00987549">
            <w:rPr>
              <w:noProof/>
              <w:sz w:val="16"/>
              <w:szCs w:val="16"/>
            </w:rPr>
            <w:t>2</w:t>
          </w:r>
          <w:r w:rsidRPr="00DF19A9">
            <w:rPr>
              <w:sz w:val="16"/>
              <w:szCs w:val="16"/>
            </w:rPr>
            <w:fldChar w:fldCharType="end"/>
          </w:r>
          <w:r w:rsidRPr="00DF19A9">
            <w:rPr>
              <w:sz w:val="16"/>
              <w:szCs w:val="16"/>
            </w:rPr>
            <w:t xml:space="preserve"> of </w:t>
          </w:r>
          <w:r w:rsidRPr="00DF19A9">
            <w:rPr>
              <w:sz w:val="16"/>
              <w:szCs w:val="16"/>
            </w:rPr>
            <w:fldChar w:fldCharType="begin"/>
          </w:r>
          <w:r w:rsidRPr="00DF19A9">
            <w:rPr>
              <w:sz w:val="16"/>
              <w:szCs w:val="16"/>
            </w:rPr>
            <w:instrText xml:space="preserve"> NUMPAGES  \* Arabic  \* MERGEFORMAT </w:instrText>
          </w:r>
          <w:r w:rsidRPr="00DF19A9">
            <w:rPr>
              <w:sz w:val="16"/>
              <w:szCs w:val="16"/>
            </w:rPr>
            <w:fldChar w:fldCharType="separate"/>
          </w:r>
          <w:r w:rsidR="00987549">
            <w:rPr>
              <w:noProof/>
              <w:sz w:val="16"/>
              <w:szCs w:val="16"/>
            </w:rPr>
            <w:t>2</w:t>
          </w:r>
          <w:r w:rsidRPr="00DF19A9">
            <w:rPr>
              <w:noProof/>
              <w:sz w:val="16"/>
              <w:szCs w:val="16"/>
            </w:rPr>
            <w:fldChar w:fldCharType="end"/>
          </w:r>
        </w:p>
      </w:tc>
    </w:tr>
  </w:tbl>
  <w:p w:rsidR="00907088" w:rsidRPr="00DF19A9" w:rsidRDefault="0052234A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29" w:type="dxa"/>
      <w:jc w:val="center"/>
      <w:tblLook w:val="04A0" w:firstRow="1" w:lastRow="0" w:firstColumn="1" w:lastColumn="0" w:noHBand="0" w:noVBand="1"/>
    </w:tblPr>
    <w:tblGrid>
      <w:gridCol w:w="4563"/>
      <w:gridCol w:w="4466"/>
    </w:tblGrid>
    <w:tr w:rsidR="00DF19A9" w:rsidRPr="00DF19A9" w:rsidTr="005C1761">
      <w:trPr>
        <w:jc w:val="center"/>
      </w:trPr>
      <w:tc>
        <w:tcPr>
          <w:tcW w:w="4563" w:type="dxa"/>
        </w:tcPr>
        <w:p w:rsidR="00DF19A9" w:rsidRPr="00DF19A9" w:rsidRDefault="0052234A" w:rsidP="00F015E4">
          <w:pPr>
            <w:pStyle w:val="Footer"/>
            <w:rPr>
              <w:sz w:val="16"/>
              <w:szCs w:val="16"/>
            </w:rPr>
          </w:pPr>
          <w:r w:rsidRPr="00DF19A9">
            <w:rPr>
              <w:sz w:val="16"/>
              <w:szCs w:val="16"/>
            </w:rPr>
            <w:t>GovEligibilityDef(EMEA)(</w:t>
          </w:r>
          <w:r>
            <w:rPr>
              <w:sz w:val="16"/>
              <w:szCs w:val="16"/>
            </w:rPr>
            <w:t>SLK</w:t>
          </w:r>
          <w:r w:rsidRPr="00DF19A9">
            <w:rPr>
              <w:sz w:val="16"/>
              <w:szCs w:val="16"/>
            </w:rPr>
            <w:t>)(Oct2012)</w:t>
          </w:r>
        </w:p>
      </w:tc>
      <w:tc>
        <w:tcPr>
          <w:tcW w:w="4466" w:type="dxa"/>
        </w:tcPr>
        <w:p w:rsidR="00DF19A9" w:rsidRPr="00DF19A9" w:rsidRDefault="0052234A" w:rsidP="005C1761">
          <w:pPr>
            <w:pStyle w:val="Footer"/>
            <w:jc w:val="right"/>
            <w:rPr>
              <w:sz w:val="16"/>
              <w:szCs w:val="16"/>
            </w:rPr>
          </w:pPr>
          <w:r w:rsidRPr="00DF19A9">
            <w:rPr>
              <w:sz w:val="16"/>
              <w:szCs w:val="16"/>
            </w:rPr>
            <w:t xml:space="preserve">Page </w:t>
          </w:r>
          <w:r w:rsidRPr="00DF19A9">
            <w:rPr>
              <w:sz w:val="16"/>
              <w:szCs w:val="16"/>
            </w:rPr>
            <w:fldChar w:fldCharType="begin"/>
          </w:r>
          <w:r w:rsidRPr="00DF19A9">
            <w:rPr>
              <w:sz w:val="16"/>
              <w:szCs w:val="16"/>
            </w:rPr>
            <w:instrText xml:space="preserve"> PAGE  \* Arabic  \* MERGEFORMAT </w:instrText>
          </w:r>
          <w:r w:rsidRPr="00DF19A9">
            <w:rPr>
              <w:sz w:val="16"/>
              <w:szCs w:val="16"/>
            </w:rPr>
            <w:fldChar w:fldCharType="separate"/>
          </w:r>
          <w:r w:rsidR="00987549">
            <w:rPr>
              <w:noProof/>
              <w:sz w:val="16"/>
              <w:szCs w:val="16"/>
            </w:rPr>
            <w:t>1</w:t>
          </w:r>
          <w:r w:rsidRPr="00DF19A9">
            <w:rPr>
              <w:sz w:val="16"/>
              <w:szCs w:val="16"/>
            </w:rPr>
            <w:fldChar w:fldCharType="end"/>
          </w:r>
          <w:r w:rsidRPr="00DF19A9">
            <w:rPr>
              <w:sz w:val="16"/>
              <w:szCs w:val="16"/>
            </w:rPr>
            <w:t xml:space="preserve"> of </w:t>
          </w:r>
          <w:r w:rsidRPr="00DF19A9">
            <w:rPr>
              <w:sz w:val="16"/>
              <w:szCs w:val="16"/>
            </w:rPr>
            <w:fldChar w:fldCharType="begin"/>
          </w:r>
          <w:r w:rsidRPr="00DF19A9">
            <w:rPr>
              <w:sz w:val="16"/>
              <w:szCs w:val="16"/>
            </w:rPr>
            <w:instrText xml:space="preserve"> NUMPAGES  \* Arabic  \* MERGEFORMAT </w:instrText>
          </w:r>
          <w:r w:rsidRPr="00DF19A9">
            <w:rPr>
              <w:sz w:val="16"/>
              <w:szCs w:val="16"/>
            </w:rPr>
            <w:fldChar w:fldCharType="separate"/>
          </w:r>
          <w:r w:rsidR="00987549">
            <w:rPr>
              <w:noProof/>
              <w:sz w:val="16"/>
              <w:szCs w:val="16"/>
            </w:rPr>
            <w:t>1</w:t>
          </w:r>
          <w:r w:rsidRPr="00DF19A9">
            <w:rPr>
              <w:noProof/>
              <w:sz w:val="16"/>
              <w:szCs w:val="16"/>
            </w:rPr>
            <w:fldChar w:fldCharType="end"/>
          </w:r>
        </w:p>
      </w:tc>
    </w:tr>
  </w:tbl>
  <w:p w:rsidR="00907088" w:rsidRPr="00DF19A9" w:rsidRDefault="0052234A">
    <w:pPr>
      <w:pStyle w:val="Footer"/>
      <w:rPr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814" w:rsidRDefault="0052234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6ED492" wp14:editId="08DDCCBE">
          <wp:simplePos x="914400" y="457200"/>
          <wp:positionH relativeFrom="margin">
            <wp:align>center</wp:align>
          </wp:positionH>
          <wp:positionV relativeFrom="margin">
            <wp:align>center</wp:align>
          </wp:positionV>
          <wp:extent cx="5669280" cy="3195955"/>
          <wp:effectExtent l="0" t="0" r="7620" b="4445"/>
          <wp:wrapNone/>
          <wp:docPr id="1" name="WordPictureWatermar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80" cy="319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088" w:rsidRDefault="0052234A" w:rsidP="00E17EAA">
    <w:pPr>
      <w:pStyle w:val="Header"/>
      <w:jc w:val="right"/>
    </w:pPr>
    <w:r>
      <w:rPr>
        <w:noProof/>
      </w:rPr>
      <w:drawing>
        <wp:inline distT="0" distB="0" distL="0" distR="0" wp14:anchorId="03DD082B" wp14:editId="518F017B">
          <wp:extent cx="5724525" cy="561975"/>
          <wp:effectExtent l="0" t="0" r="0" b="9525"/>
          <wp:docPr id="4" name="Picture 4" descr="C:\Users\v-zamorr\Desktop\new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-zamorr\Desktop\new 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638BDCC" wp14:editId="79D62D7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67375" cy="3200400"/>
          <wp:effectExtent l="0" t="0" r="9525" b="0"/>
          <wp:wrapNone/>
          <wp:docPr id="3" name="WordPictureWatermar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7375" cy="32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136F6"/>
    <w:multiLevelType w:val="hybridMultilevel"/>
    <w:tmpl w:val="1A6854BC"/>
    <w:lvl w:ilvl="0" w:tplc="382C683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Ww3jS6tX2lzwbSjvIeX/Re2mVo0=" w:salt="J/VEIjFEo0c/+B2Ir3V5V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549"/>
    <w:rsid w:val="00486EC8"/>
    <w:rsid w:val="0052234A"/>
    <w:rsid w:val="00987549"/>
    <w:rsid w:val="00F6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549"/>
    <w:pPr>
      <w:spacing w:before="120"/>
      <w:jc w:val="both"/>
    </w:pPr>
    <w:rPr>
      <w:rFonts w:eastAsia="Times New Roman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1465"/>
    <w:pPr>
      <w:keepNext/>
      <w:spacing w:before="360" w:after="120"/>
      <w:ind w:left="720" w:hanging="720"/>
      <w:outlineLvl w:val="0"/>
    </w:pPr>
    <w:rPr>
      <w:rFonts w:cs="Times New Roman"/>
      <w:b/>
      <w:i/>
      <w:sz w:val="26"/>
    </w:rPr>
  </w:style>
  <w:style w:type="paragraph" w:styleId="Heading2">
    <w:name w:val="heading 2"/>
    <w:basedOn w:val="Normal"/>
    <w:next w:val="Normal"/>
    <w:link w:val="Heading2Char"/>
    <w:uiPriority w:val="9"/>
    <w:qFormat/>
    <w:rsid w:val="00F61465"/>
    <w:pPr>
      <w:keepNext/>
      <w:keepLines/>
      <w:spacing w:before="200"/>
      <w:outlineLvl w:val="1"/>
    </w:pPr>
    <w:rPr>
      <w:rFonts w:ascii="Cambria" w:eastAsia="Malgun Gothic" w:hAnsi="Cambria" w:cs="Times New Roman"/>
      <w:b/>
      <w:color w:val="4F81BD"/>
      <w:sz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61465"/>
    <w:pPr>
      <w:keepNext/>
      <w:keepLines/>
      <w:spacing w:before="200"/>
      <w:outlineLvl w:val="2"/>
    </w:pPr>
    <w:rPr>
      <w:rFonts w:ascii="Cambria" w:eastAsia="Malgun Gothic" w:hAnsi="Cambria" w:cs="Times New Roman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F61465"/>
    <w:pPr>
      <w:keepNext/>
      <w:keepLines/>
      <w:spacing w:before="200"/>
      <w:outlineLvl w:val="3"/>
    </w:pPr>
    <w:rPr>
      <w:rFonts w:ascii="Cambria" w:eastAsia="Malgun Gothic" w:hAnsi="Cambria" w:cs="Times New Roman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F61465"/>
    <w:pPr>
      <w:keepNext/>
      <w:spacing w:before="0"/>
      <w:ind w:right="-277"/>
      <w:jc w:val="center"/>
      <w:outlineLvl w:val="4"/>
    </w:pPr>
    <w:rPr>
      <w:rFonts w:ascii="Garamond" w:hAnsi="Garamond" w:cs="Times New Roman"/>
      <w:b/>
      <w:lang w:eastAsia="nl-NL"/>
    </w:rPr>
  </w:style>
  <w:style w:type="paragraph" w:styleId="Heading6">
    <w:name w:val="heading 6"/>
    <w:basedOn w:val="Normal"/>
    <w:next w:val="Normal"/>
    <w:link w:val="Heading6Char"/>
    <w:uiPriority w:val="9"/>
    <w:qFormat/>
    <w:rsid w:val="00F61465"/>
    <w:pPr>
      <w:keepNext/>
      <w:spacing w:before="0"/>
      <w:jc w:val="center"/>
      <w:outlineLvl w:val="5"/>
    </w:pPr>
    <w:rPr>
      <w:rFonts w:ascii="Garamond" w:hAnsi="Garamond" w:cs="Times New Roman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F61465"/>
    <w:pPr>
      <w:keepNext/>
      <w:spacing w:before="0"/>
      <w:jc w:val="left"/>
      <w:outlineLvl w:val="6"/>
    </w:pPr>
    <w:rPr>
      <w:rFonts w:cs="Times New Roman"/>
      <w:b/>
    </w:rPr>
  </w:style>
  <w:style w:type="paragraph" w:styleId="Heading8">
    <w:name w:val="heading 8"/>
    <w:basedOn w:val="Normal"/>
    <w:next w:val="Normal"/>
    <w:link w:val="Heading8Char"/>
    <w:uiPriority w:val="9"/>
    <w:qFormat/>
    <w:rsid w:val="00F61465"/>
    <w:pPr>
      <w:keepNext/>
      <w:spacing w:before="0"/>
      <w:jc w:val="center"/>
      <w:outlineLvl w:val="7"/>
    </w:pPr>
    <w:rPr>
      <w:rFonts w:ascii="Garamond" w:hAnsi="Garamond" w:cs="Times New Roman"/>
      <w:b/>
      <w:i/>
    </w:rPr>
  </w:style>
  <w:style w:type="paragraph" w:styleId="Heading9">
    <w:name w:val="heading 9"/>
    <w:basedOn w:val="Normal"/>
    <w:next w:val="Normal"/>
    <w:link w:val="Heading9Char"/>
    <w:uiPriority w:val="9"/>
    <w:qFormat/>
    <w:rsid w:val="00F61465"/>
    <w:pPr>
      <w:keepNext/>
      <w:spacing w:before="0"/>
      <w:jc w:val="center"/>
      <w:outlineLvl w:val="8"/>
    </w:pPr>
    <w:rPr>
      <w:rFonts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465"/>
    <w:rPr>
      <w:rFonts w:eastAsia="Times New Roman"/>
      <w:b/>
      <w:i/>
      <w:sz w:val="2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F61465"/>
    <w:rPr>
      <w:rFonts w:ascii="Cambria" w:eastAsia="Malgun Gothic" w:hAnsi="Cambria"/>
      <w:b/>
      <w:color w:val="4F81BD"/>
      <w:sz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F61465"/>
    <w:rPr>
      <w:rFonts w:ascii="Cambria" w:eastAsia="Malgun Gothic" w:hAnsi="Cambria"/>
      <w:b/>
      <w:color w:val="4F81BD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F61465"/>
    <w:rPr>
      <w:rFonts w:ascii="Cambria" w:eastAsia="Malgun Gothic" w:hAnsi="Cambria"/>
      <w:b/>
      <w:i/>
      <w:color w:val="4F81BD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F61465"/>
    <w:rPr>
      <w:rFonts w:ascii="Garamond" w:hAnsi="Garamond"/>
      <w:b/>
      <w:lang w:eastAsia="nl-NL"/>
    </w:rPr>
  </w:style>
  <w:style w:type="character" w:customStyle="1" w:styleId="Heading6Char">
    <w:name w:val="Heading 6 Char"/>
    <w:basedOn w:val="DefaultParagraphFont"/>
    <w:link w:val="Heading6"/>
    <w:uiPriority w:val="9"/>
    <w:rsid w:val="00F61465"/>
    <w:rPr>
      <w:rFonts w:ascii="Garamond" w:hAnsi="Garamond"/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F61465"/>
    <w:rPr>
      <w:b/>
    </w:rPr>
  </w:style>
  <w:style w:type="character" w:customStyle="1" w:styleId="Heading8Char">
    <w:name w:val="Heading 8 Char"/>
    <w:basedOn w:val="DefaultParagraphFont"/>
    <w:link w:val="Heading8"/>
    <w:uiPriority w:val="9"/>
    <w:rsid w:val="00F61465"/>
    <w:rPr>
      <w:rFonts w:ascii="Garamond" w:hAnsi="Garamond"/>
      <w:b/>
      <w:i/>
    </w:rPr>
  </w:style>
  <w:style w:type="character" w:customStyle="1" w:styleId="Heading9Char">
    <w:name w:val="Heading 9 Char"/>
    <w:basedOn w:val="DefaultParagraphFont"/>
    <w:link w:val="Heading9"/>
    <w:uiPriority w:val="9"/>
    <w:rsid w:val="00F61465"/>
    <w:rPr>
      <w:b/>
      <w:sz w:val="28"/>
    </w:rPr>
  </w:style>
  <w:style w:type="paragraph" w:styleId="Caption">
    <w:name w:val="caption"/>
    <w:basedOn w:val="Normal"/>
    <w:next w:val="Normal"/>
    <w:uiPriority w:val="35"/>
    <w:qFormat/>
    <w:rsid w:val="00F61465"/>
    <w:pPr>
      <w:overflowPunct w:val="0"/>
      <w:autoSpaceDE w:val="0"/>
      <w:autoSpaceDN w:val="0"/>
      <w:adjustRightInd w:val="0"/>
      <w:spacing w:before="0"/>
      <w:ind w:left="2124" w:firstLine="708"/>
      <w:jc w:val="left"/>
      <w:textAlignment w:val="baseline"/>
    </w:pPr>
    <w:rPr>
      <w:rFonts w:ascii="Garamond" w:hAnsi="Garamond"/>
      <w:b/>
      <w:bCs/>
    </w:rPr>
  </w:style>
  <w:style w:type="paragraph" w:styleId="Title">
    <w:name w:val="Title"/>
    <w:basedOn w:val="Normal"/>
    <w:link w:val="TitleChar"/>
    <w:uiPriority w:val="10"/>
    <w:qFormat/>
    <w:rsid w:val="00F61465"/>
    <w:pPr>
      <w:spacing w:before="0" w:line="240" w:lineRule="atLeast"/>
      <w:ind w:right="-367"/>
      <w:jc w:val="center"/>
    </w:pPr>
    <w:rPr>
      <w:rFonts w:cs="Times New Roman"/>
      <w:b/>
      <w:sz w:val="18"/>
    </w:rPr>
  </w:style>
  <w:style w:type="character" w:customStyle="1" w:styleId="TitleChar">
    <w:name w:val="Title Char"/>
    <w:basedOn w:val="DefaultParagraphFont"/>
    <w:link w:val="Title"/>
    <w:uiPriority w:val="10"/>
    <w:rsid w:val="00F61465"/>
    <w:rPr>
      <w:b/>
      <w:sz w:val="18"/>
    </w:rPr>
  </w:style>
  <w:style w:type="paragraph" w:styleId="ListParagraph">
    <w:name w:val="List Paragraph"/>
    <w:basedOn w:val="Normal"/>
    <w:qFormat/>
    <w:rsid w:val="00F61465"/>
    <w:pPr>
      <w:autoSpaceDE w:val="0"/>
      <w:autoSpaceDN w:val="0"/>
      <w:adjustRightInd w:val="0"/>
      <w:ind w:left="720"/>
      <w:contextualSpacing/>
    </w:pPr>
    <w:rPr>
      <w:rFonts w:cs="Times New Roman"/>
      <w:szCs w:val="24"/>
      <w:lang w:val="de-DE" w:eastAsia="en-MY"/>
    </w:rPr>
  </w:style>
  <w:style w:type="paragraph" w:styleId="Header">
    <w:name w:val="header"/>
    <w:basedOn w:val="Normal"/>
    <w:link w:val="HeaderChar"/>
    <w:rsid w:val="00987549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987549"/>
    <w:rPr>
      <w:rFonts w:eastAsia="Times New Roman" w:cs="Arial"/>
    </w:rPr>
  </w:style>
  <w:style w:type="paragraph" w:styleId="Footer">
    <w:name w:val="footer"/>
    <w:basedOn w:val="Normal"/>
    <w:link w:val="FooterChar"/>
    <w:rsid w:val="00987549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987549"/>
    <w:rPr>
      <w:rFonts w:eastAsia="Times New Roman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54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54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549"/>
    <w:pPr>
      <w:spacing w:before="120"/>
      <w:jc w:val="both"/>
    </w:pPr>
    <w:rPr>
      <w:rFonts w:eastAsia="Times New Roman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1465"/>
    <w:pPr>
      <w:keepNext/>
      <w:spacing w:before="360" w:after="120"/>
      <w:ind w:left="720" w:hanging="720"/>
      <w:outlineLvl w:val="0"/>
    </w:pPr>
    <w:rPr>
      <w:rFonts w:cs="Times New Roman"/>
      <w:b/>
      <w:i/>
      <w:sz w:val="26"/>
    </w:rPr>
  </w:style>
  <w:style w:type="paragraph" w:styleId="Heading2">
    <w:name w:val="heading 2"/>
    <w:basedOn w:val="Normal"/>
    <w:next w:val="Normal"/>
    <w:link w:val="Heading2Char"/>
    <w:uiPriority w:val="9"/>
    <w:qFormat/>
    <w:rsid w:val="00F61465"/>
    <w:pPr>
      <w:keepNext/>
      <w:keepLines/>
      <w:spacing w:before="200"/>
      <w:outlineLvl w:val="1"/>
    </w:pPr>
    <w:rPr>
      <w:rFonts w:ascii="Cambria" w:eastAsia="Malgun Gothic" w:hAnsi="Cambria" w:cs="Times New Roman"/>
      <w:b/>
      <w:color w:val="4F81BD"/>
      <w:sz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61465"/>
    <w:pPr>
      <w:keepNext/>
      <w:keepLines/>
      <w:spacing w:before="200"/>
      <w:outlineLvl w:val="2"/>
    </w:pPr>
    <w:rPr>
      <w:rFonts w:ascii="Cambria" w:eastAsia="Malgun Gothic" w:hAnsi="Cambria" w:cs="Times New Roman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F61465"/>
    <w:pPr>
      <w:keepNext/>
      <w:keepLines/>
      <w:spacing w:before="200"/>
      <w:outlineLvl w:val="3"/>
    </w:pPr>
    <w:rPr>
      <w:rFonts w:ascii="Cambria" w:eastAsia="Malgun Gothic" w:hAnsi="Cambria" w:cs="Times New Roman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F61465"/>
    <w:pPr>
      <w:keepNext/>
      <w:spacing w:before="0"/>
      <w:ind w:right="-277"/>
      <w:jc w:val="center"/>
      <w:outlineLvl w:val="4"/>
    </w:pPr>
    <w:rPr>
      <w:rFonts w:ascii="Garamond" w:hAnsi="Garamond" w:cs="Times New Roman"/>
      <w:b/>
      <w:lang w:eastAsia="nl-NL"/>
    </w:rPr>
  </w:style>
  <w:style w:type="paragraph" w:styleId="Heading6">
    <w:name w:val="heading 6"/>
    <w:basedOn w:val="Normal"/>
    <w:next w:val="Normal"/>
    <w:link w:val="Heading6Char"/>
    <w:uiPriority w:val="9"/>
    <w:qFormat/>
    <w:rsid w:val="00F61465"/>
    <w:pPr>
      <w:keepNext/>
      <w:spacing w:before="0"/>
      <w:jc w:val="center"/>
      <w:outlineLvl w:val="5"/>
    </w:pPr>
    <w:rPr>
      <w:rFonts w:ascii="Garamond" w:hAnsi="Garamond" w:cs="Times New Roman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F61465"/>
    <w:pPr>
      <w:keepNext/>
      <w:spacing w:before="0"/>
      <w:jc w:val="left"/>
      <w:outlineLvl w:val="6"/>
    </w:pPr>
    <w:rPr>
      <w:rFonts w:cs="Times New Roman"/>
      <w:b/>
    </w:rPr>
  </w:style>
  <w:style w:type="paragraph" w:styleId="Heading8">
    <w:name w:val="heading 8"/>
    <w:basedOn w:val="Normal"/>
    <w:next w:val="Normal"/>
    <w:link w:val="Heading8Char"/>
    <w:uiPriority w:val="9"/>
    <w:qFormat/>
    <w:rsid w:val="00F61465"/>
    <w:pPr>
      <w:keepNext/>
      <w:spacing w:before="0"/>
      <w:jc w:val="center"/>
      <w:outlineLvl w:val="7"/>
    </w:pPr>
    <w:rPr>
      <w:rFonts w:ascii="Garamond" w:hAnsi="Garamond" w:cs="Times New Roman"/>
      <w:b/>
      <w:i/>
    </w:rPr>
  </w:style>
  <w:style w:type="paragraph" w:styleId="Heading9">
    <w:name w:val="heading 9"/>
    <w:basedOn w:val="Normal"/>
    <w:next w:val="Normal"/>
    <w:link w:val="Heading9Char"/>
    <w:uiPriority w:val="9"/>
    <w:qFormat/>
    <w:rsid w:val="00F61465"/>
    <w:pPr>
      <w:keepNext/>
      <w:spacing w:before="0"/>
      <w:jc w:val="center"/>
      <w:outlineLvl w:val="8"/>
    </w:pPr>
    <w:rPr>
      <w:rFonts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465"/>
    <w:rPr>
      <w:rFonts w:eastAsia="Times New Roman"/>
      <w:b/>
      <w:i/>
      <w:sz w:val="2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F61465"/>
    <w:rPr>
      <w:rFonts w:ascii="Cambria" w:eastAsia="Malgun Gothic" w:hAnsi="Cambria"/>
      <w:b/>
      <w:color w:val="4F81BD"/>
      <w:sz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F61465"/>
    <w:rPr>
      <w:rFonts w:ascii="Cambria" w:eastAsia="Malgun Gothic" w:hAnsi="Cambria"/>
      <w:b/>
      <w:color w:val="4F81BD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F61465"/>
    <w:rPr>
      <w:rFonts w:ascii="Cambria" w:eastAsia="Malgun Gothic" w:hAnsi="Cambria"/>
      <w:b/>
      <w:i/>
      <w:color w:val="4F81BD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F61465"/>
    <w:rPr>
      <w:rFonts w:ascii="Garamond" w:hAnsi="Garamond"/>
      <w:b/>
      <w:lang w:eastAsia="nl-NL"/>
    </w:rPr>
  </w:style>
  <w:style w:type="character" w:customStyle="1" w:styleId="Heading6Char">
    <w:name w:val="Heading 6 Char"/>
    <w:basedOn w:val="DefaultParagraphFont"/>
    <w:link w:val="Heading6"/>
    <w:uiPriority w:val="9"/>
    <w:rsid w:val="00F61465"/>
    <w:rPr>
      <w:rFonts w:ascii="Garamond" w:hAnsi="Garamond"/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F61465"/>
    <w:rPr>
      <w:b/>
    </w:rPr>
  </w:style>
  <w:style w:type="character" w:customStyle="1" w:styleId="Heading8Char">
    <w:name w:val="Heading 8 Char"/>
    <w:basedOn w:val="DefaultParagraphFont"/>
    <w:link w:val="Heading8"/>
    <w:uiPriority w:val="9"/>
    <w:rsid w:val="00F61465"/>
    <w:rPr>
      <w:rFonts w:ascii="Garamond" w:hAnsi="Garamond"/>
      <w:b/>
      <w:i/>
    </w:rPr>
  </w:style>
  <w:style w:type="character" w:customStyle="1" w:styleId="Heading9Char">
    <w:name w:val="Heading 9 Char"/>
    <w:basedOn w:val="DefaultParagraphFont"/>
    <w:link w:val="Heading9"/>
    <w:uiPriority w:val="9"/>
    <w:rsid w:val="00F61465"/>
    <w:rPr>
      <w:b/>
      <w:sz w:val="28"/>
    </w:rPr>
  </w:style>
  <w:style w:type="paragraph" w:styleId="Caption">
    <w:name w:val="caption"/>
    <w:basedOn w:val="Normal"/>
    <w:next w:val="Normal"/>
    <w:uiPriority w:val="35"/>
    <w:qFormat/>
    <w:rsid w:val="00F61465"/>
    <w:pPr>
      <w:overflowPunct w:val="0"/>
      <w:autoSpaceDE w:val="0"/>
      <w:autoSpaceDN w:val="0"/>
      <w:adjustRightInd w:val="0"/>
      <w:spacing w:before="0"/>
      <w:ind w:left="2124" w:firstLine="708"/>
      <w:jc w:val="left"/>
      <w:textAlignment w:val="baseline"/>
    </w:pPr>
    <w:rPr>
      <w:rFonts w:ascii="Garamond" w:hAnsi="Garamond"/>
      <w:b/>
      <w:bCs/>
    </w:rPr>
  </w:style>
  <w:style w:type="paragraph" w:styleId="Title">
    <w:name w:val="Title"/>
    <w:basedOn w:val="Normal"/>
    <w:link w:val="TitleChar"/>
    <w:uiPriority w:val="10"/>
    <w:qFormat/>
    <w:rsid w:val="00F61465"/>
    <w:pPr>
      <w:spacing w:before="0" w:line="240" w:lineRule="atLeast"/>
      <w:ind w:right="-367"/>
      <w:jc w:val="center"/>
    </w:pPr>
    <w:rPr>
      <w:rFonts w:cs="Times New Roman"/>
      <w:b/>
      <w:sz w:val="18"/>
    </w:rPr>
  </w:style>
  <w:style w:type="character" w:customStyle="1" w:styleId="TitleChar">
    <w:name w:val="Title Char"/>
    <w:basedOn w:val="DefaultParagraphFont"/>
    <w:link w:val="Title"/>
    <w:uiPriority w:val="10"/>
    <w:rsid w:val="00F61465"/>
    <w:rPr>
      <w:b/>
      <w:sz w:val="18"/>
    </w:rPr>
  </w:style>
  <w:style w:type="paragraph" w:styleId="ListParagraph">
    <w:name w:val="List Paragraph"/>
    <w:basedOn w:val="Normal"/>
    <w:qFormat/>
    <w:rsid w:val="00F61465"/>
    <w:pPr>
      <w:autoSpaceDE w:val="0"/>
      <w:autoSpaceDN w:val="0"/>
      <w:adjustRightInd w:val="0"/>
      <w:ind w:left="720"/>
      <w:contextualSpacing/>
    </w:pPr>
    <w:rPr>
      <w:rFonts w:cs="Times New Roman"/>
      <w:szCs w:val="24"/>
      <w:lang w:val="de-DE" w:eastAsia="en-MY"/>
    </w:rPr>
  </w:style>
  <w:style w:type="paragraph" w:styleId="Header">
    <w:name w:val="header"/>
    <w:basedOn w:val="Normal"/>
    <w:link w:val="HeaderChar"/>
    <w:rsid w:val="00987549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987549"/>
    <w:rPr>
      <w:rFonts w:eastAsia="Times New Roman" w:cs="Arial"/>
    </w:rPr>
  </w:style>
  <w:style w:type="paragraph" w:styleId="Footer">
    <w:name w:val="footer"/>
    <w:basedOn w:val="Normal"/>
    <w:link w:val="FooterChar"/>
    <w:rsid w:val="00987549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987549"/>
    <w:rPr>
      <w:rFonts w:eastAsia="Times New Roman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54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54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4606ED501493498C08193A2407831D" ma:contentTypeVersion="0" ma:contentTypeDescription="Create a new document." ma:contentTypeScope="" ma:versionID="8d93504f4203f7526083aee9f441b3e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a1222beb234debe96d12a98d24ff8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9A68CB-C4FE-413E-9166-08ABBCF231B7}"/>
</file>

<file path=customXml/itemProps2.xml><?xml version="1.0" encoding="utf-8"?>
<ds:datastoreItem xmlns:ds="http://schemas.openxmlformats.org/officeDocument/2006/customXml" ds:itemID="{254E4A7F-49FC-4DAF-8407-7F513EF56544}"/>
</file>

<file path=customXml/itemProps3.xml><?xml version="1.0" encoding="utf-8"?>
<ds:datastoreItem xmlns:ds="http://schemas.openxmlformats.org/officeDocument/2006/customXml" ds:itemID="{7232D2A6-E3A5-401A-99D6-1A00EE56D2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4281</Characters>
  <Application>Microsoft Office Word</Application>
  <DocSecurity>0</DocSecurity>
  <Lines>35</Lines>
  <Paragraphs>10</Paragraphs>
  <ScaleCrop>false</ScaleCrop>
  <Company>Microsoft Corporation</Company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Morrissey (Inviso)</dc:creator>
  <cp:keywords/>
  <dc:description/>
  <cp:lastModifiedBy>Zachary Morrissey (Inviso)</cp:lastModifiedBy>
  <cp:revision>2</cp:revision>
  <dcterms:created xsi:type="dcterms:W3CDTF">2012-08-29T23:05:00Z</dcterms:created>
  <dcterms:modified xsi:type="dcterms:W3CDTF">2012-08-29T23:05:00Z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0x010100BD4606ED501493498C08193A2407831D</vt:lpwstr>
  </property>
</Properties>
</file>