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15D" w:rsidRDefault="00C7315D" w:rsidP="00C7315D">
      <w:pPr>
        <w:spacing w:before="240"/>
        <w:jc w:val="left"/>
        <w:rPr>
          <w:color w:val="000000"/>
          <w:sz w:val="36"/>
          <w:lang w:val="es-ES"/>
        </w:rPr>
        <w:sectPr w:rsidR="00C7315D" w:rsidSect="00A61909">
          <w:headerReference w:type="default" r:id="rId6"/>
          <w:footerReference w:type="default" r:id="rId7"/>
          <w:headerReference w:type="first" r:id="rId8"/>
          <w:footerReference w:type="first" r:id="rId9"/>
          <w:pgSz w:w="11907" w:h="16839" w:code="9"/>
          <w:pgMar w:top="1440" w:right="1440" w:bottom="1440" w:left="1440" w:header="576" w:footer="432" w:gutter="0"/>
          <w:cols w:space="720"/>
          <w:titlePg/>
          <w:docGrid w:linePitch="360"/>
        </w:sectPr>
      </w:pPr>
      <w:bookmarkStart w:id="0" w:name="_GoBack"/>
      <w:bookmarkEnd w:id="0"/>
      <w:r w:rsidRPr="00E714E1">
        <w:rPr>
          <w:color w:val="000000"/>
          <w:sz w:val="36"/>
          <w:lang w:val="es-ES"/>
        </w:rPr>
        <w:t>Definición de Elegibilidad Gubernamental de Microsoft</w:t>
      </w:r>
      <w:r>
        <w:rPr>
          <w:color w:val="000000"/>
          <w:sz w:val="36"/>
          <w:lang w:val="es-ES"/>
        </w:rPr>
        <w:t> </w:t>
      </w:r>
      <w:r w:rsidRPr="00E714E1">
        <w:rPr>
          <w:color w:val="000000"/>
          <w:sz w:val="36"/>
          <w:lang w:val="es-ES"/>
        </w:rPr>
        <w:t>(EMEA)</w:t>
      </w:r>
    </w:p>
    <w:p w:rsidR="00C7315D" w:rsidRPr="00E714E1" w:rsidRDefault="00C7315D" w:rsidP="00C7315D">
      <w:pPr>
        <w:spacing w:before="360" w:after="120"/>
        <w:rPr>
          <w:lang w:val="es-ES"/>
        </w:rPr>
      </w:pPr>
      <w:r w:rsidRPr="00E714E1">
        <w:rPr>
          <w:lang w:val="es-ES"/>
        </w:rPr>
        <w:lastRenderedPageBreak/>
        <w:t>Las organizaciones del sector público, que se encuentran en las categorías o cumplen con los criterios que se definen y describen a continuación, son elegibles para participar en los programas de licencias por volumen de Microsoft específicamente diseñados para gobierno (“Entidades Elegibles”).</w:t>
      </w:r>
      <w:r>
        <w:rPr>
          <w:lang w:val="es-ES"/>
        </w:rPr>
        <w:t xml:space="preserve"> </w:t>
      </w:r>
      <w:r w:rsidRPr="00E714E1">
        <w:rPr>
          <w:lang w:val="es-ES"/>
        </w:rPr>
        <w:t>Una “Entidad Elegible” es cualquier organización que no opera con fines de lucro y que se encuentra en una de las siguientes categorías:</w:t>
      </w:r>
      <w:r>
        <w:rPr>
          <w:lang w:val="es-ES"/>
        </w:rPr>
        <w:t xml:space="preserve"> </w:t>
      </w:r>
    </w:p>
    <w:tbl>
      <w:tblPr>
        <w:tblW w:w="9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5968"/>
      </w:tblGrid>
      <w:tr w:rsidR="00C7315D" w:rsidRPr="00E714E1" w:rsidTr="006A7786">
        <w:trPr>
          <w:cantSplit/>
          <w:tblHeader/>
          <w:jc w:val="center"/>
        </w:trPr>
        <w:tc>
          <w:tcPr>
            <w:tcW w:w="9029" w:type="dxa"/>
            <w:gridSpan w:val="2"/>
            <w:shd w:val="clear" w:color="auto" w:fill="000000"/>
          </w:tcPr>
          <w:p w:rsidR="00C7315D" w:rsidRPr="00E714E1" w:rsidRDefault="00C7315D" w:rsidP="006A7786">
            <w:pPr>
              <w:keepNext/>
              <w:spacing w:after="120"/>
              <w:rPr>
                <w:b/>
                <w:bCs/>
                <w:color w:val="FFFFFF"/>
                <w:lang w:val="es-ES"/>
              </w:rPr>
            </w:pPr>
            <w:r w:rsidRPr="00E714E1">
              <w:rPr>
                <w:b/>
                <w:color w:val="FFFFFF"/>
                <w:lang w:val="es-ES"/>
              </w:rPr>
              <w:t>Categorías</w:t>
            </w:r>
          </w:p>
        </w:tc>
      </w:tr>
      <w:tr w:rsidR="00C7315D" w:rsidRPr="00E714E1" w:rsidTr="006A7786">
        <w:trPr>
          <w:cantSplit/>
          <w:tblHeader/>
          <w:jc w:val="center"/>
        </w:trPr>
        <w:tc>
          <w:tcPr>
            <w:tcW w:w="3061" w:type="dxa"/>
            <w:vAlign w:val="center"/>
          </w:tcPr>
          <w:p w:rsidR="00C7315D" w:rsidRPr="00E714E1" w:rsidRDefault="00C7315D" w:rsidP="006A7786">
            <w:pPr>
              <w:spacing w:after="120"/>
              <w:jc w:val="left"/>
              <w:rPr>
                <w:b/>
                <w:bCs/>
                <w:lang w:val="es-ES"/>
              </w:rPr>
            </w:pPr>
            <w:r w:rsidRPr="00E714E1">
              <w:rPr>
                <w:b/>
                <w:lang w:val="es-ES"/>
              </w:rPr>
              <w:t>A. Supranacional</w:t>
            </w:r>
          </w:p>
        </w:tc>
        <w:tc>
          <w:tcPr>
            <w:tcW w:w="5968" w:type="dxa"/>
            <w:vAlign w:val="center"/>
          </w:tcPr>
          <w:p w:rsidR="00C7315D" w:rsidRPr="00E714E1" w:rsidRDefault="00C7315D" w:rsidP="006A7786">
            <w:pPr>
              <w:spacing w:after="120"/>
              <w:rPr>
                <w:lang w:val="es-ES"/>
              </w:rPr>
            </w:pPr>
            <w:r w:rsidRPr="00E714E1">
              <w:rPr>
                <w:lang w:val="es-ES"/>
              </w:rPr>
              <w:t>Todas las organizaciones/instituciones que tienen una función reglamentaria o legislativa perceptible en muchos gobiernos nacionales.</w:t>
            </w:r>
          </w:p>
        </w:tc>
      </w:tr>
      <w:tr w:rsidR="00C7315D" w:rsidRPr="00E714E1" w:rsidTr="006A7786">
        <w:trPr>
          <w:cantSplit/>
          <w:tblHeader/>
          <w:jc w:val="center"/>
        </w:trPr>
        <w:tc>
          <w:tcPr>
            <w:tcW w:w="3061" w:type="dxa"/>
            <w:vAlign w:val="center"/>
          </w:tcPr>
          <w:p w:rsidR="00C7315D" w:rsidRPr="00E714E1" w:rsidRDefault="00C7315D" w:rsidP="006A7786">
            <w:pPr>
              <w:spacing w:after="120"/>
              <w:jc w:val="left"/>
              <w:rPr>
                <w:b/>
                <w:bCs/>
                <w:lang w:val="es-ES"/>
              </w:rPr>
            </w:pPr>
            <w:r w:rsidRPr="00E714E1">
              <w:rPr>
                <w:b/>
                <w:lang w:val="es-ES"/>
              </w:rPr>
              <w:t>B. Nacional/Federal</w:t>
            </w:r>
          </w:p>
        </w:tc>
        <w:tc>
          <w:tcPr>
            <w:tcW w:w="5968" w:type="dxa"/>
            <w:vAlign w:val="center"/>
          </w:tcPr>
          <w:p w:rsidR="00C7315D" w:rsidRPr="00E714E1" w:rsidRDefault="00C7315D" w:rsidP="006A7786">
            <w:pPr>
              <w:spacing w:after="120"/>
              <w:rPr>
                <w:lang w:val="es-ES"/>
              </w:rPr>
            </w:pPr>
            <w:r w:rsidRPr="00E714E1">
              <w:rPr>
                <w:lang w:val="es-ES"/>
              </w:rPr>
              <w:t>Todas las organizaciones/instituciones que se gestionan en el nivel federal/nacional y que tienen competencia para gobernar en un estado nación o en un país.</w:t>
            </w:r>
            <w:r>
              <w:rPr>
                <w:lang w:val="es-ES"/>
              </w:rPr>
              <w:t xml:space="preserve"> </w:t>
            </w:r>
            <w:r w:rsidRPr="00E714E1">
              <w:rPr>
                <w:lang w:val="es-ES"/>
              </w:rPr>
              <w:t>Esto incluye organismos parlamentarios y organismos judiciales con atribuciones para legislar o decidir sobre las normas jurídicas.</w:t>
            </w:r>
          </w:p>
        </w:tc>
      </w:tr>
      <w:tr w:rsidR="00C7315D" w:rsidRPr="00E714E1" w:rsidTr="006A7786">
        <w:trPr>
          <w:cantSplit/>
          <w:tblHeader/>
          <w:jc w:val="center"/>
        </w:trPr>
        <w:tc>
          <w:tcPr>
            <w:tcW w:w="3061" w:type="dxa"/>
            <w:vAlign w:val="center"/>
          </w:tcPr>
          <w:p w:rsidR="00C7315D" w:rsidRPr="00E714E1" w:rsidRDefault="00C7315D" w:rsidP="006A7786">
            <w:pPr>
              <w:spacing w:after="120"/>
              <w:jc w:val="left"/>
              <w:rPr>
                <w:b/>
                <w:bCs/>
                <w:lang w:val="es-ES"/>
              </w:rPr>
            </w:pPr>
            <w:r>
              <w:rPr>
                <w:b/>
                <w:lang w:val="es-ES"/>
              </w:rPr>
              <w:t xml:space="preserve">C. </w:t>
            </w:r>
            <w:r w:rsidRPr="00E714E1">
              <w:rPr>
                <w:b/>
                <w:lang w:val="es-ES"/>
              </w:rPr>
              <w:t>Regional/Estatal/Provincial</w:t>
            </w:r>
          </w:p>
        </w:tc>
        <w:tc>
          <w:tcPr>
            <w:tcW w:w="5968" w:type="dxa"/>
            <w:vAlign w:val="center"/>
          </w:tcPr>
          <w:p w:rsidR="00C7315D" w:rsidRPr="00E714E1" w:rsidRDefault="00C7315D" w:rsidP="006A7786">
            <w:pPr>
              <w:spacing w:after="120"/>
              <w:rPr>
                <w:lang w:val="es-ES"/>
              </w:rPr>
            </w:pPr>
            <w:r w:rsidRPr="00E714E1">
              <w:rPr>
                <w:lang w:val="es-ES"/>
              </w:rPr>
              <w:t>Nivel intermedio de gobierno que no abarca un país completo, sino que tiene varias áreas de gobierno local dentro de su jurisdicción aplicable. Esto incluye (1) todas las organizaciones/instituciones gubernamentales que se gestionan en el nivel estatal/regional y que se denominan de forma muy diversa: regiones, departamentos, estados, pueblos, condados o provincias; y (2) todos los departamentos, los organismos parlamentarios, las autoridades reglamentarias y los organismos judiciales con atribuciones para legislar o decidir sobre las normas jurídicas en la región, el departamento, el estado, el pueblo, el condado o la provincia correspondiente.</w:t>
            </w:r>
          </w:p>
        </w:tc>
      </w:tr>
      <w:tr w:rsidR="00C7315D" w:rsidRPr="00E714E1" w:rsidTr="006A7786">
        <w:trPr>
          <w:cantSplit/>
          <w:tblHeader/>
          <w:jc w:val="center"/>
        </w:trPr>
        <w:tc>
          <w:tcPr>
            <w:tcW w:w="3061" w:type="dxa"/>
            <w:vAlign w:val="center"/>
          </w:tcPr>
          <w:p w:rsidR="00C7315D" w:rsidRPr="00E714E1" w:rsidRDefault="00C7315D" w:rsidP="006A7786">
            <w:pPr>
              <w:spacing w:after="120"/>
              <w:jc w:val="left"/>
              <w:rPr>
                <w:b/>
                <w:bCs/>
                <w:lang w:val="es-ES"/>
              </w:rPr>
            </w:pPr>
            <w:r w:rsidRPr="00E714E1">
              <w:rPr>
                <w:b/>
                <w:lang w:val="es-ES"/>
              </w:rPr>
              <w:t>D. Local/Municipal</w:t>
            </w:r>
          </w:p>
        </w:tc>
        <w:tc>
          <w:tcPr>
            <w:tcW w:w="5968" w:type="dxa"/>
            <w:vAlign w:val="center"/>
          </w:tcPr>
          <w:p w:rsidR="00C7315D" w:rsidRPr="00E714E1" w:rsidRDefault="00C7315D" w:rsidP="006A7786">
            <w:pPr>
              <w:spacing w:after="120"/>
              <w:rPr>
                <w:lang w:val="es-ES"/>
              </w:rPr>
            </w:pPr>
            <w:r w:rsidRPr="00E714E1">
              <w:rPr>
                <w:lang w:val="es-ES"/>
              </w:rPr>
              <w:t>El nivel más bajo de Gobierno y administración asociada. Esto incluye todas las organizaciones/instituciones gubernamentales que se gestionan en el nivel de ciudad, pueblo, distrito, regencia municipal, aldea, municipio, comuna y distrito (por ejemplo, esparcimiento, recolección de basura, servicio de bomberos, control de servicios locales e implementación de algunos servicios nacionales).</w:t>
            </w:r>
          </w:p>
        </w:tc>
      </w:tr>
      <w:tr w:rsidR="00C7315D" w:rsidRPr="00E714E1" w:rsidTr="006A7786">
        <w:trPr>
          <w:cantSplit/>
          <w:tblHeader/>
          <w:jc w:val="center"/>
        </w:trPr>
        <w:tc>
          <w:tcPr>
            <w:tcW w:w="3061" w:type="dxa"/>
            <w:vAlign w:val="center"/>
          </w:tcPr>
          <w:p w:rsidR="00C7315D" w:rsidRPr="00E714E1" w:rsidRDefault="00C7315D" w:rsidP="006A7786">
            <w:pPr>
              <w:spacing w:after="120"/>
              <w:jc w:val="left"/>
              <w:rPr>
                <w:b/>
                <w:bCs/>
                <w:lang w:val="es-ES"/>
              </w:rPr>
            </w:pPr>
            <w:r w:rsidRPr="00E714E1">
              <w:rPr>
                <w:b/>
                <w:lang w:val="es-ES"/>
              </w:rPr>
              <w:t>E. Healthcare</w:t>
            </w:r>
          </w:p>
        </w:tc>
        <w:tc>
          <w:tcPr>
            <w:tcW w:w="5968" w:type="dxa"/>
            <w:vAlign w:val="center"/>
          </w:tcPr>
          <w:p w:rsidR="00C7315D" w:rsidRPr="00E714E1" w:rsidRDefault="00C7315D" w:rsidP="006A7786">
            <w:pPr>
              <w:spacing w:after="120"/>
              <w:rPr>
                <w:lang w:val="es-ES"/>
              </w:rPr>
            </w:pPr>
            <w:r w:rsidRPr="00E714E1">
              <w:rPr>
                <w:lang w:val="es-ES"/>
              </w:rPr>
              <w:t>Cualquier organización/institución gubernamental que presta servicios y cobertura de atención de la salud, legisla o decide sobre la política de atención de la salud en un estado nación o</w:t>
            </w:r>
            <w:r>
              <w:rPr>
                <w:lang w:val="es-ES"/>
              </w:rPr>
              <w:t> </w:t>
            </w:r>
            <w:r w:rsidRPr="00E714E1">
              <w:rPr>
                <w:lang w:val="es-ES"/>
              </w:rPr>
              <w:t>en un país, proporciona financiación de servicios y cobertura de atención de la salud o tiene una función reglamentaria en los servicios y la cobertura de atención de la salud.</w:t>
            </w:r>
          </w:p>
        </w:tc>
      </w:tr>
      <w:tr w:rsidR="00C7315D" w:rsidRPr="00E714E1" w:rsidTr="006A7786">
        <w:trPr>
          <w:cantSplit/>
          <w:tblHeader/>
          <w:jc w:val="center"/>
        </w:trPr>
        <w:tc>
          <w:tcPr>
            <w:tcW w:w="3061" w:type="dxa"/>
            <w:vAlign w:val="center"/>
          </w:tcPr>
          <w:p w:rsidR="00C7315D" w:rsidRPr="00E714E1" w:rsidRDefault="00C7315D" w:rsidP="006A7786">
            <w:pPr>
              <w:spacing w:after="120"/>
              <w:ind w:left="253" w:hanging="253"/>
              <w:jc w:val="left"/>
              <w:rPr>
                <w:b/>
                <w:bCs/>
                <w:lang w:val="es-ES"/>
              </w:rPr>
            </w:pPr>
            <w:r w:rsidRPr="00E714E1">
              <w:rPr>
                <w:b/>
                <w:lang w:val="es-ES"/>
              </w:rPr>
              <w:lastRenderedPageBreak/>
              <w:t>F. Otras organizaciones gubernamentales</w:t>
            </w:r>
          </w:p>
        </w:tc>
        <w:tc>
          <w:tcPr>
            <w:tcW w:w="5968" w:type="dxa"/>
            <w:vAlign w:val="center"/>
          </w:tcPr>
          <w:p w:rsidR="00C7315D" w:rsidRPr="00DE361C" w:rsidRDefault="00C7315D" w:rsidP="006A7786">
            <w:pPr>
              <w:spacing w:after="120"/>
              <w:rPr>
                <w:spacing w:val="-2"/>
                <w:lang w:val="es-ES"/>
              </w:rPr>
            </w:pPr>
            <w:r w:rsidRPr="00DE361C">
              <w:rPr>
                <w:spacing w:val="-2"/>
                <w:lang w:val="es-ES"/>
              </w:rPr>
              <w:t>Cualquier organización que excepcionalmente es responsable ante, y finalmente es controlada por, un Gobierno de Estado Nación reconocido internacionalmente.</w:t>
            </w:r>
          </w:p>
          <w:p w:rsidR="00C7315D" w:rsidRPr="00DE361C" w:rsidRDefault="00C7315D" w:rsidP="006A7786">
            <w:pPr>
              <w:spacing w:before="0" w:after="120"/>
              <w:rPr>
                <w:spacing w:val="-2"/>
                <w:lang w:val="es-ES"/>
              </w:rPr>
            </w:pPr>
            <w:r w:rsidRPr="00DE361C">
              <w:rPr>
                <w:spacing w:val="-2"/>
                <w:lang w:val="es-ES"/>
              </w:rPr>
              <w:t xml:space="preserve">Cualquier organización creada mediante legislación para desempeñar un fin público, según se describe en la legislación habilitante correspondiente o los artículos de asociación/objetivos de esa organización (por ejemplo, comisiones reglamentarias, corporaciones municipales, organizaciones de investigación gubernamentales). </w:t>
            </w:r>
          </w:p>
        </w:tc>
      </w:tr>
    </w:tbl>
    <w:p w:rsidR="00C7315D" w:rsidRPr="00E714E1" w:rsidRDefault="00C7315D" w:rsidP="00C7315D">
      <w:pPr>
        <w:rPr>
          <w:lang w:val="es-ES"/>
        </w:rPr>
      </w:pPr>
      <w:r w:rsidRPr="00E714E1">
        <w:rPr>
          <w:lang w:val="es-ES"/>
        </w:rPr>
        <w:t>Si una organización se encuentra en una de las categorías anteriores y opera con fines de lucro, se aplicarán los siguientes criterios adicionales para determinar si una organización es susceptible de ser una entidad elegible:</w:t>
      </w:r>
    </w:p>
    <w:p w:rsidR="00C7315D" w:rsidRPr="00E714E1" w:rsidRDefault="00C7315D" w:rsidP="00C7315D">
      <w:pPr>
        <w:pStyle w:val="ListParagraph"/>
        <w:numPr>
          <w:ilvl w:val="0"/>
          <w:numId w:val="1"/>
        </w:numPr>
        <w:autoSpaceDE/>
        <w:autoSpaceDN/>
        <w:adjustRightInd/>
        <w:ind w:left="1080"/>
        <w:contextualSpacing w:val="0"/>
        <w:rPr>
          <w:lang w:val="es-ES"/>
        </w:rPr>
      </w:pPr>
      <w:r w:rsidRPr="00E714E1">
        <w:rPr>
          <w:lang w:val="es-ES"/>
        </w:rPr>
        <w:t>¿Es el gobierno el único que recibe los ingresos o las ganancias (o son accionistas privados los que también reciben esos ingresos o ganancias)?</w:t>
      </w:r>
    </w:p>
    <w:p w:rsidR="00C7315D" w:rsidRPr="00E714E1" w:rsidRDefault="00C7315D" w:rsidP="00C7315D">
      <w:pPr>
        <w:pStyle w:val="ListParagraph"/>
        <w:numPr>
          <w:ilvl w:val="0"/>
          <w:numId w:val="1"/>
        </w:numPr>
        <w:autoSpaceDE/>
        <w:autoSpaceDN/>
        <w:adjustRightInd/>
        <w:ind w:left="1080"/>
        <w:contextualSpacing w:val="0"/>
        <w:rPr>
          <w:lang w:val="es-ES"/>
        </w:rPr>
      </w:pPr>
      <w:r w:rsidRPr="00E714E1">
        <w:rPr>
          <w:lang w:val="es-ES"/>
        </w:rPr>
        <w:t>¿La organización en cuestión está exenta de pagar impuesto sobre las utilidades?</w:t>
      </w:r>
    </w:p>
    <w:p w:rsidR="00C7315D" w:rsidRPr="00E714E1" w:rsidRDefault="00C7315D" w:rsidP="00C7315D">
      <w:pPr>
        <w:pStyle w:val="ListParagraph"/>
        <w:numPr>
          <w:ilvl w:val="0"/>
          <w:numId w:val="1"/>
        </w:numPr>
        <w:autoSpaceDE/>
        <w:autoSpaceDN/>
        <w:adjustRightInd/>
        <w:ind w:left="1080"/>
        <w:contextualSpacing w:val="0"/>
        <w:rPr>
          <w:lang w:val="es-ES"/>
        </w:rPr>
      </w:pPr>
      <w:r w:rsidRPr="00E714E1">
        <w:rPr>
          <w:lang w:val="es-ES"/>
        </w:rPr>
        <w:t>¿La organización es financiada en más de un 50% por el gobierno (es decir, obtiene menos de un 50% de su financiamiento de actividades comerciales)?</w:t>
      </w:r>
    </w:p>
    <w:p w:rsidR="00C7315D" w:rsidRPr="00E714E1" w:rsidRDefault="00C7315D" w:rsidP="00C7315D">
      <w:pPr>
        <w:rPr>
          <w:lang w:val="es-ES"/>
        </w:rPr>
      </w:pPr>
      <w:r w:rsidRPr="00E714E1">
        <w:rPr>
          <w:lang w:val="es-ES"/>
        </w:rPr>
        <w:t xml:space="preserve">Si la respuesta a todas estas preguntas es “sí”, entonces la organización es susceptible de ser una entidad elegible. Si la respuesta a cualquiera de las preguntas anteriores es “no”, entonces la organización no es susceptible de ser una entidad elegible. En general, las corporaciones de propiedad del gobierno, las empresas de propiedad del estado y las organizaciones de propiedad del gobierno (incorporadas o no) que desempeñan actividades comerciales (por ejemplo, telecomunicaciones, banca, transporte, etc.) no son susceptibles de ser una entidad elegible. </w:t>
      </w:r>
    </w:p>
    <w:p w:rsidR="00C7315D" w:rsidRPr="00E714E1" w:rsidRDefault="00C7315D" w:rsidP="00C7315D">
      <w:pPr>
        <w:rPr>
          <w:lang w:val="es-ES"/>
        </w:rPr>
      </w:pPr>
      <w:r w:rsidRPr="00E714E1">
        <w:rPr>
          <w:lang w:val="es-ES"/>
        </w:rPr>
        <w:t xml:space="preserve">Si el Gobierno de un país publica una lista de organizaciones del sector público, esas organizaciones deben cumplir con los criterios estipulados en esta definición para ser susceptibles de ser una entidad elegible. </w:t>
      </w:r>
    </w:p>
    <w:p w:rsidR="00C7315D" w:rsidRPr="00E714E1" w:rsidRDefault="00C7315D" w:rsidP="00C7315D">
      <w:pPr>
        <w:rPr>
          <w:lang w:val="es-ES"/>
        </w:rPr>
      </w:pPr>
      <w:r>
        <w:rPr>
          <w:lang w:val="es-ES"/>
        </w:rPr>
        <w:t>Si una organización pierde su estado como una entidad pública elegible tras la firma de un contrato de licencias, la organización podrá seguir utilizando las copias con Licencia, pero no podrá remitir pedidos nuevos para obtener Licencias en virtud de los programas Licencia Government de Microsoft.</w:t>
      </w:r>
      <w:r w:rsidRPr="00E714E1">
        <w:rPr>
          <w:lang w:val="es-ES"/>
        </w:rPr>
        <w:t xml:space="preserve"> </w:t>
      </w:r>
    </w:p>
    <w:p w:rsidR="00C7315D" w:rsidRPr="00E714E1" w:rsidRDefault="00C7315D" w:rsidP="00C7315D">
      <w:pPr>
        <w:rPr>
          <w:lang w:val="es-ES"/>
        </w:rPr>
      </w:pPr>
      <w:r>
        <w:rPr>
          <w:lang w:val="es-ES"/>
        </w:rPr>
        <w:t xml:space="preserve">Microsoft aplica un nivel de precios con descuento basado en el volumen a las entidades elegibles en un país específico si los pedidos de licencias agregados en virtud de los programas de licencias por volumen de Microsoft en los que participan asciende como mínimo a un equivalente de 15.000 desktops o 75.000 puntos por grupo de productos. </w:t>
      </w:r>
      <w:r w:rsidRPr="00E714E1">
        <w:rPr>
          <w:lang w:val="es-ES"/>
        </w:rPr>
        <w:t>Este importe permite que esas entidades sean susceptibles de obtener (1) el nivel de precios D Enterprise, Enterprise Subscription, Select o Select Plus, según se define en la Inscripción correspondiente o en un contrato equivalente y/o (2)</w:t>
      </w:r>
      <w:r>
        <w:rPr>
          <w:lang w:val="es-ES"/>
        </w:rPr>
        <w:t> </w:t>
      </w:r>
      <w:r w:rsidRPr="00E714E1">
        <w:rPr>
          <w:lang w:val="es-ES"/>
        </w:rPr>
        <w:t>cualquier otro nivel de precios de descuento por volumen específico disponible para las entidades elegibles en virtud del programa de licencias por volumen de Microsoft.</w:t>
      </w:r>
    </w:p>
    <w:p w:rsidR="00C7315D" w:rsidRPr="00E714E1" w:rsidRDefault="00C7315D" w:rsidP="00C7315D">
      <w:pPr>
        <w:rPr>
          <w:lang w:val="es-ES"/>
        </w:rPr>
      </w:pPr>
      <w:r w:rsidRPr="00E714E1">
        <w:rPr>
          <w:lang w:val="es-ES"/>
        </w:rPr>
        <w:t>Cualquier nivel de precios con descuento basado en el volumen se limita a las entidades elegibles, siempre que el nivel de precios con descuento esté disponible en virtud del contrato y del programa de licencias por volumen de Microsoft subyacente.</w:t>
      </w:r>
    </w:p>
    <w:p w:rsidR="00486EC8" w:rsidRDefault="00486EC8"/>
    <w:sectPr w:rsidR="00486EC8" w:rsidSect="00A731FF">
      <w:type w:val="continuous"/>
      <w:pgSz w:w="11907" w:h="16839" w:code="9"/>
      <w:pgMar w:top="1440" w:right="1440" w:bottom="1440"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562"/>
      <w:gridCol w:w="4467"/>
    </w:tblGrid>
    <w:tr w:rsidR="00EB2F3C" w:rsidRPr="00B3242A" w:rsidTr="00DB2D4C">
      <w:trPr>
        <w:jc w:val="center"/>
      </w:trPr>
      <w:tc>
        <w:tcPr>
          <w:tcW w:w="4621" w:type="dxa"/>
        </w:tcPr>
        <w:p w:rsidR="00EB2F3C" w:rsidRPr="00B3242A" w:rsidRDefault="00CC2A5C" w:rsidP="00DB2D4C">
          <w:pPr>
            <w:pStyle w:val="Footer"/>
            <w:rPr>
              <w:sz w:val="16"/>
              <w:szCs w:val="16"/>
            </w:rPr>
          </w:pPr>
          <w:r w:rsidRPr="00B3242A">
            <w:rPr>
              <w:sz w:val="16"/>
              <w:szCs w:val="16"/>
            </w:rPr>
            <w:t>GovEligibilityDef(EMEA)</w:t>
          </w:r>
          <w:r w:rsidRPr="00B3242A">
            <w:rPr>
              <w:sz w:val="16"/>
              <w:szCs w:val="16"/>
            </w:rPr>
            <w:t>(SPA</w:t>
          </w:r>
          <w:r w:rsidRPr="00B3242A">
            <w:rPr>
              <w:sz w:val="16"/>
              <w:szCs w:val="16"/>
            </w:rPr>
            <w:t>)(Oct2012)</w:t>
          </w:r>
        </w:p>
      </w:tc>
      <w:tc>
        <w:tcPr>
          <w:tcW w:w="4622" w:type="dxa"/>
        </w:tcPr>
        <w:p w:rsidR="00EB2F3C" w:rsidRPr="00B3242A" w:rsidRDefault="00CC2A5C" w:rsidP="00DB2D4C">
          <w:pPr>
            <w:pStyle w:val="Footer"/>
            <w:jc w:val="right"/>
            <w:rPr>
              <w:sz w:val="16"/>
              <w:szCs w:val="16"/>
            </w:rPr>
          </w:pPr>
          <w:r w:rsidRPr="00B3242A">
            <w:rPr>
              <w:sz w:val="16"/>
              <w:szCs w:val="16"/>
            </w:rPr>
            <w:t xml:space="preserve">Page </w:t>
          </w:r>
          <w:r w:rsidRPr="00B3242A">
            <w:rPr>
              <w:sz w:val="16"/>
              <w:szCs w:val="16"/>
            </w:rPr>
            <w:fldChar w:fldCharType="begin"/>
          </w:r>
          <w:r w:rsidRPr="00B3242A">
            <w:rPr>
              <w:sz w:val="16"/>
              <w:szCs w:val="16"/>
            </w:rPr>
            <w:instrText xml:space="preserve"> PAGE  \* Arabic  \* MERGEFORMAT </w:instrText>
          </w:r>
          <w:r w:rsidRPr="00B3242A">
            <w:rPr>
              <w:sz w:val="16"/>
              <w:szCs w:val="16"/>
            </w:rPr>
            <w:fldChar w:fldCharType="separate"/>
          </w:r>
          <w:r w:rsidR="00C7315D">
            <w:rPr>
              <w:noProof/>
              <w:sz w:val="16"/>
              <w:szCs w:val="16"/>
            </w:rPr>
            <w:t>2</w:t>
          </w:r>
          <w:r w:rsidRPr="00B3242A">
            <w:rPr>
              <w:sz w:val="16"/>
              <w:szCs w:val="16"/>
            </w:rPr>
            <w:fldChar w:fldCharType="end"/>
          </w:r>
          <w:r w:rsidRPr="00B3242A">
            <w:rPr>
              <w:sz w:val="16"/>
              <w:szCs w:val="16"/>
            </w:rPr>
            <w:t xml:space="preserve"> of </w:t>
          </w:r>
          <w:r w:rsidRPr="00B3242A">
            <w:rPr>
              <w:sz w:val="16"/>
              <w:szCs w:val="16"/>
            </w:rPr>
            <w:fldChar w:fldCharType="begin"/>
          </w:r>
          <w:r w:rsidRPr="00B3242A">
            <w:rPr>
              <w:sz w:val="16"/>
              <w:szCs w:val="16"/>
            </w:rPr>
            <w:instrText xml:space="preserve"> NUMPAGES  \* Arabic  \* MERGEFORMAT </w:instrText>
          </w:r>
          <w:r w:rsidRPr="00B3242A">
            <w:rPr>
              <w:sz w:val="16"/>
              <w:szCs w:val="16"/>
            </w:rPr>
            <w:fldChar w:fldCharType="separate"/>
          </w:r>
          <w:r w:rsidR="00C7315D">
            <w:rPr>
              <w:noProof/>
              <w:sz w:val="16"/>
              <w:szCs w:val="16"/>
            </w:rPr>
            <w:t>2</w:t>
          </w:r>
          <w:r w:rsidRPr="00B3242A">
            <w:rPr>
              <w:noProof/>
              <w:sz w:val="16"/>
              <w:szCs w:val="16"/>
            </w:rPr>
            <w:fldChar w:fldCharType="end"/>
          </w:r>
        </w:p>
      </w:tc>
    </w:tr>
  </w:tbl>
  <w:p w:rsidR="00EB2F3C" w:rsidRPr="00B3242A" w:rsidRDefault="00CC2A5C" w:rsidP="00EB2F3C">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29" w:type="dxa"/>
      <w:jc w:val="center"/>
      <w:tblLook w:val="04A0" w:firstRow="1" w:lastRow="0" w:firstColumn="1" w:lastColumn="0" w:noHBand="0" w:noVBand="1"/>
    </w:tblPr>
    <w:tblGrid>
      <w:gridCol w:w="4562"/>
      <w:gridCol w:w="4467"/>
    </w:tblGrid>
    <w:tr w:rsidR="000373B9" w:rsidRPr="00285C82" w:rsidTr="00DB2D4C">
      <w:trPr>
        <w:jc w:val="center"/>
      </w:trPr>
      <w:tc>
        <w:tcPr>
          <w:tcW w:w="4621" w:type="dxa"/>
        </w:tcPr>
        <w:p w:rsidR="000373B9" w:rsidRPr="00285C82" w:rsidRDefault="00CC2A5C" w:rsidP="00DB2D4C">
          <w:pPr>
            <w:pStyle w:val="Footer"/>
            <w:rPr>
              <w:sz w:val="16"/>
              <w:szCs w:val="16"/>
            </w:rPr>
          </w:pPr>
          <w:r w:rsidRPr="00285C82">
            <w:rPr>
              <w:sz w:val="16"/>
              <w:szCs w:val="16"/>
            </w:rPr>
            <w:t>GovEligibilityDef(EMEA)</w:t>
          </w:r>
          <w:r w:rsidRPr="00285C82">
            <w:rPr>
              <w:sz w:val="16"/>
              <w:szCs w:val="16"/>
            </w:rPr>
            <w:t>(SPA</w:t>
          </w:r>
          <w:r w:rsidRPr="00285C82">
            <w:rPr>
              <w:sz w:val="16"/>
              <w:szCs w:val="16"/>
            </w:rPr>
            <w:t>)(Oct2012)</w:t>
          </w:r>
        </w:p>
      </w:tc>
      <w:tc>
        <w:tcPr>
          <w:tcW w:w="4622" w:type="dxa"/>
        </w:tcPr>
        <w:p w:rsidR="000373B9" w:rsidRPr="00285C82" w:rsidRDefault="00CC2A5C" w:rsidP="00DB2D4C">
          <w:pPr>
            <w:pStyle w:val="Footer"/>
            <w:jc w:val="right"/>
            <w:rPr>
              <w:sz w:val="16"/>
              <w:szCs w:val="16"/>
            </w:rPr>
          </w:pPr>
          <w:r w:rsidRPr="00285C82">
            <w:rPr>
              <w:sz w:val="16"/>
              <w:szCs w:val="16"/>
            </w:rPr>
            <w:t xml:space="preserve">Page </w:t>
          </w:r>
          <w:r w:rsidRPr="00285C82">
            <w:rPr>
              <w:sz w:val="16"/>
              <w:szCs w:val="16"/>
            </w:rPr>
            <w:fldChar w:fldCharType="begin"/>
          </w:r>
          <w:r w:rsidRPr="00285C82">
            <w:rPr>
              <w:sz w:val="16"/>
              <w:szCs w:val="16"/>
            </w:rPr>
            <w:instrText xml:space="preserve"> PAGE  \* Arabic  \* MERGEFORMAT </w:instrText>
          </w:r>
          <w:r w:rsidRPr="00285C82">
            <w:rPr>
              <w:sz w:val="16"/>
              <w:szCs w:val="16"/>
            </w:rPr>
            <w:fldChar w:fldCharType="separate"/>
          </w:r>
          <w:r w:rsidR="00C7315D">
            <w:rPr>
              <w:noProof/>
              <w:sz w:val="16"/>
              <w:szCs w:val="16"/>
            </w:rPr>
            <w:t>1</w:t>
          </w:r>
          <w:r w:rsidRPr="00285C82">
            <w:rPr>
              <w:sz w:val="16"/>
              <w:szCs w:val="16"/>
            </w:rPr>
            <w:fldChar w:fldCharType="end"/>
          </w:r>
          <w:r w:rsidRPr="00285C82">
            <w:rPr>
              <w:sz w:val="16"/>
              <w:szCs w:val="16"/>
            </w:rPr>
            <w:t xml:space="preserve"> of </w:t>
          </w:r>
          <w:r w:rsidRPr="00285C82">
            <w:rPr>
              <w:sz w:val="16"/>
              <w:szCs w:val="16"/>
            </w:rPr>
            <w:fldChar w:fldCharType="begin"/>
          </w:r>
          <w:r w:rsidRPr="00285C82">
            <w:rPr>
              <w:sz w:val="16"/>
              <w:szCs w:val="16"/>
            </w:rPr>
            <w:instrText xml:space="preserve"> NUMPAGES  \* Arabic  \* MERGEFORMAT </w:instrText>
          </w:r>
          <w:r w:rsidRPr="00285C82">
            <w:rPr>
              <w:sz w:val="16"/>
              <w:szCs w:val="16"/>
            </w:rPr>
            <w:fldChar w:fldCharType="separate"/>
          </w:r>
          <w:r w:rsidR="00C7315D">
            <w:rPr>
              <w:noProof/>
              <w:sz w:val="16"/>
              <w:szCs w:val="16"/>
            </w:rPr>
            <w:t>1</w:t>
          </w:r>
          <w:r w:rsidRPr="00285C82">
            <w:rPr>
              <w:noProof/>
              <w:sz w:val="16"/>
              <w:szCs w:val="16"/>
            </w:rPr>
            <w:fldChar w:fldCharType="end"/>
          </w:r>
        </w:p>
      </w:tc>
    </w:tr>
  </w:tbl>
  <w:p w:rsidR="000373B9" w:rsidRPr="00285C82" w:rsidRDefault="00CC2A5C" w:rsidP="000373B9">
    <w:pPr>
      <w:pStyle w:val="Footer"/>
      <w:rPr>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1FF" w:rsidRDefault="00CC2A5C">
    <w:pPr>
      <w:pStyle w:val="Header"/>
    </w:pPr>
    <w:r>
      <w:rPr>
        <w:noProof/>
      </w:rPr>
      <w:drawing>
        <wp:anchor distT="0" distB="0" distL="114300" distR="114300" simplePos="0" relativeHeight="251659264" behindDoc="0" locked="0" layoutInCell="1" allowOverlap="1" wp14:anchorId="013FADDB" wp14:editId="02FD48D5">
          <wp:simplePos x="914400" y="457200"/>
          <wp:positionH relativeFrom="margin">
            <wp:align>center</wp:align>
          </wp:positionH>
          <wp:positionV relativeFrom="margin">
            <wp:align>center</wp:align>
          </wp:positionV>
          <wp:extent cx="5669280" cy="3195955"/>
          <wp:effectExtent l="0" t="0" r="7620" b="4445"/>
          <wp:wrapNone/>
          <wp:docPr id="1"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E0C" w:rsidRDefault="00CC2A5C" w:rsidP="00E17EAA">
    <w:pPr>
      <w:pStyle w:val="Header"/>
      <w:jc w:val="right"/>
    </w:pPr>
    <w:r>
      <w:rPr>
        <w:noProof/>
      </w:rPr>
      <w:drawing>
        <wp:inline distT="0" distB="0" distL="0" distR="0" wp14:anchorId="0EAB9430" wp14:editId="6760ACE2">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r>
      <w:rPr>
        <w:noProof/>
      </w:rPr>
      <w:drawing>
        <wp:anchor distT="0" distB="0" distL="114300" distR="114300" simplePos="0" relativeHeight="251660288" behindDoc="0" locked="0" layoutInCell="1" allowOverlap="1" wp14:anchorId="02D543D4" wp14:editId="4A97DACE">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136F6"/>
    <w:multiLevelType w:val="hybridMultilevel"/>
    <w:tmpl w:val="1A6854BC"/>
    <w:lvl w:ilvl="0" w:tplc="382C6836">
      <w:start w:val="1"/>
      <w:numFmt w:val="decimal"/>
      <w:lvlText w:val="%1."/>
      <w:lvlJc w:val="left"/>
      <w:pPr>
        <w:ind w:left="720" w:hanging="360"/>
      </w:pPr>
      <w:rPr>
        <w:rFonts w:cs="Times New Roman"/>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nk8ACwInPDdYV1kxVIPeqOGyWjk=" w:salt="o50lpqNHUxgQWlkChiOGW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5D"/>
    <w:rsid w:val="00486EC8"/>
    <w:rsid w:val="00C7315D"/>
    <w:rsid w:val="00CC2A5C"/>
    <w:rsid w:val="00F614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5D"/>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C7315D"/>
    <w:pPr>
      <w:tabs>
        <w:tab w:val="center" w:pos="4680"/>
        <w:tab w:val="right" w:pos="9360"/>
      </w:tabs>
      <w:spacing w:before="0"/>
    </w:pPr>
  </w:style>
  <w:style w:type="character" w:customStyle="1" w:styleId="HeaderChar">
    <w:name w:val="Header Char"/>
    <w:basedOn w:val="DefaultParagraphFont"/>
    <w:link w:val="Header"/>
    <w:uiPriority w:val="99"/>
    <w:rsid w:val="00C7315D"/>
    <w:rPr>
      <w:rFonts w:eastAsia="Times New Roman" w:cs="Arial"/>
    </w:rPr>
  </w:style>
  <w:style w:type="paragraph" w:styleId="Footer">
    <w:name w:val="footer"/>
    <w:basedOn w:val="Normal"/>
    <w:link w:val="FooterChar"/>
    <w:uiPriority w:val="99"/>
    <w:unhideWhenUsed/>
    <w:rsid w:val="00C7315D"/>
    <w:pPr>
      <w:tabs>
        <w:tab w:val="center" w:pos="4680"/>
        <w:tab w:val="right" w:pos="9360"/>
      </w:tabs>
      <w:spacing w:before="0"/>
    </w:pPr>
  </w:style>
  <w:style w:type="character" w:customStyle="1" w:styleId="FooterChar">
    <w:name w:val="Footer Char"/>
    <w:basedOn w:val="DefaultParagraphFont"/>
    <w:link w:val="Footer"/>
    <w:uiPriority w:val="99"/>
    <w:rsid w:val="00C7315D"/>
    <w:rPr>
      <w:rFonts w:eastAsia="Times New Roman" w:cs="Arial"/>
    </w:rPr>
  </w:style>
  <w:style w:type="paragraph" w:styleId="BalloonText">
    <w:name w:val="Balloon Text"/>
    <w:basedOn w:val="Normal"/>
    <w:link w:val="BalloonTextChar"/>
    <w:uiPriority w:val="99"/>
    <w:semiHidden/>
    <w:unhideWhenUsed/>
    <w:rsid w:val="00C7315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15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15D"/>
    <w:pPr>
      <w:spacing w:before="120"/>
      <w:jc w:val="both"/>
    </w:pPr>
    <w:rPr>
      <w:rFonts w:eastAsia="Times New Roman" w:cs="Arial"/>
    </w:rPr>
  </w:style>
  <w:style w:type="paragraph" w:styleId="Heading1">
    <w:name w:val="heading 1"/>
    <w:basedOn w:val="Normal"/>
    <w:next w:val="Normal"/>
    <w:link w:val="Heading1Char"/>
    <w:uiPriority w:val="9"/>
    <w:qFormat/>
    <w:rsid w:val="00F61465"/>
    <w:pPr>
      <w:keepNext/>
      <w:spacing w:before="360" w:after="120"/>
      <w:ind w:left="720" w:hanging="720"/>
      <w:outlineLvl w:val="0"/>
    </w:pPr>
    <w:rPr>
      <w:rFonts w:cs="Times New Roman"/>
      <w:b/>
      <w:i/>
      <w:sz w:val="26"/>
    </w:rPr>
  </w:style>
  <w:style w:type="paragraph" w:styleId="Heading2">
    <w:name w:val="heading 2"/>
    <w:basedOn w:val="Normal"/>
    <w:next w:val="Normal"/>
    <w:link w:val="Heading2Char"/>
    <w:uiPriority w:val="9"/>
    <w:qFormat/>
    <w:rsid w:val="00F61465"/>
    <w:pPr>
      <w:keepNext/>
      <w:keepLines/>
      <w:spacing w:before="200"/>
      <w:outlineLvl w:val="1"/>
    </w:pPr>
    <w:rPr>
      <w:rFonts w:ascii="Cambria" w:eastAsia="Malgun Gothic" w:hAnsi="Cambria" w:cs="Times New Roman"/>
      <w:b/>
      <w:color w:val="4F81BD"/>
      <w:sz w:val="26"/>
    </w:rPr>
  </w:style>
  <w:style w:type="paragraph" w:styleId="Heading3">
    <w:name w:val="heading 3"/>
    <w:basedOn w:val="Normal"/>
    <w:next w:val="Normal"/>
    <w:link w:val="Heading3Char"/>
    <w:uiPriority w:val="9"/>
    <w:qFormat/>
    <w:rsid w:val="00F61465"/>
    <w:pPr>
      <w:keepNext/>
      <w:keepLines/>
      <w:spacing w:before="200"/>
      <w:outlineLvl w:val="2"/>
    </w:pPr>
    <w:rPr>
      <w:rFonts w:ascii="Cambria" w:eastAsia="Malgun Gothic" w:hAnsi="Cambria" w:cs="Times New Roman"/>
      <w:b/>
      <w:color w:val="4F81BD"/>
    </w:rPr>
  </w:style>
  <w:style w:type="paragraph" w:styleId="Heading4">
    <w:name w:val="heading 4"/>
    <w:basedOn w:val="Normal"/>
    <w:next w:val="Normal"/>
    <w:link w:val="Heading4Char"/>
    <w:uiPriority w:val="9"/>
    <w:qFormat/>
    <w:rsid w:val="00F61465"/>
    <w:pPr>
      <w:keepNext/>
      <w:keepLines/>
      <w:spacing w:before="200"/>
      <w:outlineLvl w:val="3"/>
    </w:pPr>
    <w:rPr>
      <w:rFonts w:ascii="Cambria" w:eastAsia="Malgun Gothic" w:hAnsi="Cambria" w:cs="Times New Roman"/>
      <w:b/>
      <w:i/>
      <w:color w:val="4F81BD"/>
    </w:rPr>
  </w:style>
  <w:style w:type="paragraph" w:styleId="Heading5">
    <w:name w:val="heading 5"/>
    <w:basedOn w:val="Normal"/>
    <w:next w:val="Normal"/>
    <w:link w:val="Heading5Char"/>
    <w:uiPriority w:val="9"/>
    <w:qFormat/>
    <w:rsid w:val="00F61465"/>
    <w:pPr>
      <w:keepNext/>
      <w:spacing w:before="0"/>
      <w:ind w:right="-277"/>
      <w:jc w:val="center"/>
      <w:outlineLvl w:val="4"/>
    </w:pPr>
    <w:rPr>
      <w:rFonts w:ascii="Garamond" w:hAnsi="Garamond" w:cs="Times New Roman"/>
      <w:b/>
      <w:lang w:eastAsia="nl-NL"/>
    </w:rPr>
  </w:style>
  <w:style w:type="paragraph" w:styleId="Heading6">
    <w:name w:val="heading 6"/>
    <w:basedOn w:val="Normal"/>
    <w:next w:val="Normal"/>
    <w:link w:val="Heading6Char"/>
    <w:uiPriority w:val="9"/>
    <w:qFormat/>
    <w:rsid w:val="00F61465"/>
    <w:pPr>
      <w:keepNext/>
      <w:spacing w:before="0"/>
      <w:jc w:val="center"/>
      <w:outlineLvl w:val="5"/>
    </w:pPr>
    <w:rPr>
      <w:rFonts w:ascii="Garamond" w:hAnsi="Garamond" w:cs="Times New Roman"/>
      <w:b/>
    </w:rPr>
  </w:style>
  <w:style w:type="paragraph" w:styleId="Heading7">
    <w:name w:val="heading 7"/>
    <w:basedOn w:val="Normal"/>
    <w:next w:val="Normal"/>
    <w:link w:val="Heading7Char"/>
    <w:uiPriority w:val="9"/>
    <w:qFormat/>
    <w:rsid w:val="00F61465"/>
    <w:pPr>
      <w:keepNext/>
      <w:spacing w:before="0"/>
      <w:jc w:val="left"/>
      <w:outlineLvl w:val="6"/>
    </w:pPr>
    <w:rPr>
      <w:rFonts w:cs="Times New Roman"/>
      <w:b/>
    </w:rPr>
  </w:style>
  <w:style w:type="paragraph" w:styleId="Heading8">
    <w:name w:val="heading 8"/>
    <w:basedOn w:val="Normal"/>
    <w:next w:val="Normal"/>
    <w:link w:val="Heading8Char"/>
    <w:uiPriority w:val="9"/>
    <w:qFormat/>
    <w:rsid w:val="00F61465"/>
    <w:pPr>
      <w:keepNext/>
      <w:spacing w:before="0"/>
      <w:jc w:val="center"/>
      <w:outlineLvl w:val="7"/>
    </w:pPr>
    <w:rPr>
      <w:rFonts w:ascii="Garamond" w:hAnsi="Garamond" w:cs="Times New Roman"/>
      <w:b/>
      <w:i/>
    </w:rPr>
  </w:style>
  <w:style w:type="paragraph" w:styleId="Heading9">
    <w:name w:val="heading 9"/>
    <w:basedOn w:val="Normal"/>
    <w:next w:val="Normal"/>
    <w:link w:val="Heading9Char"/>
    <w:uiPriority w:val="9"/>
    <w:qFormat/>
    <w:rsid w:val="00F61465"/>
    <w:pPr>
      <w:keepNext/>
      <w:spacing w:before="0"/>
      <w:jc w:val="center"/>
      <w:outlineLvl w:val="8"/>
    </w:pPr>
    <w:rPr>
      <w:rFonts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465"/>
    <w:rPr>
      <w:rFonts w:eastAsia="Times New Roman"/>
      <w:b/>
      <w:i/>
      <w:sz w:val="26"/>
      <w:lang w:eastAsia="ja-JP"/>
    </w:rPr>
  </w:style>
  <w:style w:type="character" w:customStyle="1" w:styleId="Heading2Char">
    <w:name w:val="Heading 2 Char"/>
    <w:basedOn w:val="DefaultParagraphFont"/>
    <w:link w:val="Heading2"/>
    <w:uiPriority w:val="9"/>
    <w:rsid w:val="00F61465"/>
    <w:rPr>
      <w:rFonts w:ascii="Cambria" w:eastAsia="Malgun Gothic" w:hAnsi="Cambria"/>
      <w:b/>
      <w:color w:val="4F81BD"/>
      <w:sz w:val="26"/>
      <w:lang w:eastAsia="ja-JP"/>
    </w:rPr>
  </w:style>
  <w:style w:type="character" w:customStyle="1" w:styleId="Heading3Char">
    <w:name w:val="Heading 3 Char"/>
    <w:basedOn w:val="DefaultParagraphFont"/>
    <w:link w:val="Heading3"/>
    <w:uiPriority w:val="9"/>
    <w:rsid w:val="00F61465"/>
    <w:rPr>
      <w:rFonts w:ascii="Cambria" w:eastAsia="Malgun Gothic" w:hAnsi="Cambria"/>
      <w:b/>
      <w:color w:val="4F81BD"/>
      <w:lang w:eastAsia="ja-JP"/>
    </w:rPr>
  </w:style>
  <w:style w:type="character" w:customStyle="1" w:styleId="Heading4Char">
    <w:name w:val="Heading 4 Char"/>
    <w:basedOn w:val="DefaultParagraphFont"/>
    <w:link w:val="Heading4"/>
    <w:uiPriority w:val="9"/>
    <w:rsid w:val="00F61465"/>
    <w:rPr>
      <w:rFonts w:ascii="Cambria" w:eastAsia="Malgun Gothic" w:hAnsi="Cambria"/>
      <w:b/>
      <w:i/>
      <w:color w:val="4F81BD"/>
      <w:lang w:eastAsia="ja-JP"/>
    </w:rPr>
  </w:style>
  <w:style w:type="character" w:customStyle="1" w:styleId="Heading5Char">
    <w:name w:val="Heading 5 Char"/>
    <w:basedOn w:val="DefaultParagraphFont"/>
    <w:link w:val="Heading5"/>
    <w:uiPriority w:val="9"/>
    <w:rsid w:val="00F61465"/>
    <w:rPr>
      <w:rFonts w:ascii="Garamond" w:hAnsi="Garamond"/>
      <w:b/>
      <w:lang w:eastAsia="nl-NL"/>
    </w:rPr>
  </w:style>
  <w:style w:type="character" w:customStyle="1" w:styleId="Heading6Char">
    <w:name w:val="Heading 6 Char"/>
    <w:basedOn w:val="DefaultParagraphFont"/>
    <w:link w:val="Heading6"/>
    <w:uiPriority w:val="9"/>
    <w:rsid w:val="00F61465"/>
    <w:rPr>
      <w:rFonts w:ascii="Garamond" w:hAnsi="Garamond"/>
      <w:b/>
    </w:rPr>
  </w:style>
  <w:style w:type="character" w:customStyle="1" w:styleId="Heading7Char">
    <w:name w:val="Heading 7 Char"/>
    <w:basedOn w:val="DefaultParagraphFont"/>
    <w:link w:val="Heading7"/>
    <w:uiPriority w:val="9"/>
    <w:rsid w:val="00F61465"/>
    <w:rPr>
      <w:b/>
    </w:rPr>
  </w:style>
  <w:style w:type="character" w:customStyle="1" w:styleId="Heading8Char">
    <w:name w:val="Heading 8 Char"/>
    <w:basedOn w:val="DefaultParagraphFont"/>
    <w:link w:val="Heading8"/>
    <w:uiPriority w:val="9"/>
    <w:rsid w:val="00F61465"/>
    <w:rPr>
      <w:rFonts w:ascii="Garamond" w:hAnsi="Garamond"/>
      <w:b/>
      <w:i/>
    </w:rPr>
  </w:style>
  <w:style w:type="character" w:customStyle="1" w:styleId="Heading9Char">
    <w:name w:val="Heading 9 Char"/>
    <w:basedOn w:val="DefaultParagraphFont"/>
    <w:link w:val="Heading9"/>
    <w:uiPriority w:val="9"/>
    <w:rsid w:val="00F61465"/>
    <w:rPr>
      <w:b/>
      <w:sz w:val="28"/>
    </w:rPr>
  </w:style>
  <w:style w:type="paragraph" w:styleId="Caption">
    <w:name w:val="caption"/>
    <w:basedOn w:val="Normal"/>
    <w:next w:val="Normal"/>
    <w:uiPriority w:val="35"/>
    <w:qFormat/>
    <w:rsid w:val="00F61465"/>
    <w:pPr>
      <w:overflowPunct w:val="0"/>
      <w:autoSpaceDE w:val="0"/>
      <w:autoSpaceDN w:val="0"/>
      <w:adjustRightInd w:val="0"/>
      <w:spacing w:before="0"/>
      <w:ind w:left="2124" w:firstLine="708"/>
      <w:jc w:val="left"/>
      <w:textAlignment w:val="baseline"/>
    </w:pPr>
    <w:rPr>
      <w:rFonts w:ascii="Garamond" w:hAnsi="Garamond"/>
      <w:b/>
      <w:bCs/>
    </w:rPr>
  </w:style>
  <w:style w:type="paragraph" w:styleId="Title">
    <w:name w:val="Title"/>
    <w:basedOn w:val="Normal"/>
    <w:link w:val="TitleChar"/>
    <w:uiPriority w:val="10"/>
    <w:qFormat/>
    <w:rsid w:val="00F61465"/>
    <w:pPr>
      <w:spacing w:before="0" w:line="240" w:lineRule="atLeast"/>
      <w:ind w:right="-367"/>
      <w:jc w:val="center"/>
    </w:pPr>
    <w:rPr>
      <w:rFonts w:cs="Times New Roman"/>
      <w:b/>
      <w:sz w:val="18"/>
    </w:rPr>
  </w:style>
  <w:style w:type="character" w:customStyle="1" w:styleId="TitleChar">
    <w:name w:val="Title Char"/>
    <w:basedOn w:val="DefaultParagraphFont"/>
    <w:link w:val="Title"/>
    <w:uiPriority w:val="10"/>
    <w:rsid w:val="00F61465"/>
    <w:rPr>
      <w:b/>
      <w:sz w:val="18"/>
    </w:rPr>
  </w:style>
  <w:style w:type="paragraph" w:styleId="ListParagraph">
    <w:name w:val="List Paragraph"/>
    <w:basedOn w:val="Normal"/>
    <w:uiPriority w:val="34"/>
    <w:qFormat/>
    <w:rsid w:val="00F61465"/>
    <w:pPr>
      <w:autoSpaceDE w:val="0"/>
      <w:autoSpaceDN w:val="0"/>
      <w:adjustRightInd w:val="0"/>
      <w:ind w:left="720"/>
      <w:contextualSpacing/>
    </w:pPr>
    <w:rPr>
      <w:rFonts w:cs="Times New Roman"/>
      <w:szCs w:val="24"/>
      <w:lang w:val="de-DE" w:eastAsia="en-MY"/>
    </w:rPr>
  </w:style>
  <w:style w:type="paragraph" w:styleId="Header">
    <w:name w:val="header"/>
    <w:basedOn w:val="Normal"/>
    <w:link w:val="HeaderChar"/>
    <w:uiPriority w:val="99"/>
    <w:unhideWhenUsed/>
    <w:rsid w:val="00C7315D"/>
    <w:pPr>
      <w:tabs>
        <w:tab w:val="center" w:pos="4680"/>
        <w:tab w:val="right" w:pos="9360"/>
      </w:tabs>
      <w:spacing w:before="0"/>
    </w:pPr>
  </w:style>
  <w:style w:type="character" w:customStyle="1" w:styleId="HeaderChar">
    <w:name w:val="Header Char"/>
    <w:basedOn w:val="DefaultParagraphFont"/>
    <w:link w:val="Header"/>
    <w:uiPriority w:val="99"/>
    <w:rsid w:val="00C7315D"/>
    <w:rPr>
      <w:rFonts w:eastAsia="Times New Roman" w:cs="Arial"/>
    </w:rPr>
  </w:style>
  <w:style w:type="paragraph" w:styleId="Footer">
    <w:name w:val="footer"/>
    <w:basedOn w:val="Normal"/>
    <w:link w:val="FooterChar"/>
    <w:uiPriority w:val="99"/>
    <w:unhideWhenUsed/>
    <w:rsid w:val="00C7315D"/>
    <w:pPr>
      <w:tabs>
        <w:tab w:val="center" w:pos="4680"/>
        <w:tab w:val="right" w:pos="9360"/>
      </w:tabs>
      <w:spacing w:before="0"/>
    </w:pPr>
  </w:style>
  <w:style w:type="character" w:customStyle="1" w:styleId="FooterChar">
    <w:name w:val="Footer Char"/>
    <w:basedOn w:val="DefaultParagraphFont"/>
    <w:link w:val="Footer"/>
    <w:uiPriority w:val="99"/>
    <w:rsid w:val="00C7315D"/>
    <w:rPr>
      <w:rFonts w:eastAsia="Times New Roman" w:cs="Arial"/>
    </w:rPr>
  </w:style>
  <w:style w:type="paragraph" w:styleId="BalloonText">
    <w:name w:val="Balloon Text"/>
    <w:basedOn w:val="Normal"/>
    <w:link w:val="BalloonTextChar"/>
    <w:uiPriority w:val="99"/>
    <w:semiHidden/>
    <w:unhideWhenUsed/>
    <w:rsid w:val="00C7315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15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4606ED501493498C08193A2407831D" ma:contentTypeVersion="0" ma:contentTypeDescription="Create a new document." ma:contentTypeScope="" ma:versionID="8d93504f4203f7526083aee9f441b3e4">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B156CE-6479-4CCA-9DED-44E57B2417BB}"/>
</file>

<file path=customXml/itemProps2.xml><?xml version="1.0" encoding="utf-8"?>
<ds:datastoreItem xmlns:ds="http://schemas.openxmlformats.org/officeDocument/2006/customXml" ds:itemID="{EE8B5D22-B4B8-4058-AAD1-2B0233BBEB1C}"/>
</file>

<file path=customXml/itemProps3.xml><?xml version="1.0" encoding="utf-8"?>
<ds:datastoreItem xmlns:ds="http://schemas.openxmlformats.org/officeDocument/2006/customXml" ds:itemID="{EFFE91BB-77F2-4DC1-9740-832DBF05430B}"/>
</file>

<file path=docProps/app.xml><?xml version="1.0" encoding="utf-8"?>
<Properties xmlns="http://schemas.openxmlformats.org/officeDocument/2006/extended-properties" xmlns:vt="http://schemas.openxmlformats.org/officeDocument/2006/docPropsVTypes">
  <Template>Normal</Template>
  <TotalTime>0</TotalTime>
  <Pages>2</Pages>
  <Words>844</Words>
  <Characters>4817</Characters>
  <Application>Microsoft Office Word</Application>
  <DocSecurity>0</DocSecurity>
  <Lines>40</Lines>
  <Paragraphs>11</Paragraphs>
  <ScaleCrop>false</ScaleCrop>
  <Company>Microsoft Corporation</Company>
  <LinksUpToDate>false</LinksUpToDate>
  <CharactersWithSpaces>5650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Morrissey (Inviso)</dc:creator>
  <cp:keywords/>
  <dc:description/>
  <cp:lastModifiedBy>Zachary Morrissey (Inviso)</cp:lastModifiedBy>
  <cp:revision>2</cp:revision>
  <dcterms:created xsi:type="dcterms:W3CDTF">2012-08-29T23:05:00Z</dcterms:created>
  <dcterms:modified xsi:type="dcterms:W3CDTF">2012-08-29T23:05:00Z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0x010100BD4606ED501493498C08193A2407831D</vt:lpwstr>
  </property>
</Properties>
</file>