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C9F" w:rsidRPr="007B77A8" w:rsidRDefault="00AA3C9F" w:rsidP="00F92C87">
      <w:pPr>
        <w:spacing w:before="240"/>
        <w:jc w:val="left"/>
        <w:rPr>
          <w:color w:val="000000"/>
          <w:sz w:val="36"/>
          <w:szCs w:val="36"/>
          <w:shd w:val="clear" w:color="808080" w:fill="FFFFFF"/>
          <w:lang w:val="sv-SE"/>
        </w:rPr>
        <w:sectPr w:rsidR="00AA3C9F" w:rsidRPr="007B77A8" w:rsidSect="000754AC">
          <w:headerReference w:type="default" r:id="rId10"/>
          <w:footerReference w:type="default" r:id="rId11"/>
          <w:headerReference w:type="first" r:id="rId12"/>
          <w:footerReference w:type="first" r:id="rId13"/>
          <w:pgSz w:w="11907" w:h="16839" w:code="9"/>
          <w:pgMar w:top="1440" w:right="1440" w:bottom="1440" w:left="1440" w:header="576" w:footer="432" w:gutter="0"/>
          <w:cols w:space="720"/>
          <w:titlePg/>
          <w:docGrid w:linePitch="360"/>
        </w:sectPr>
      </w:pPr>
      <w:bookmarkStart w:id="0" w:name="_GoBack"/>
      <w:bookmarkEnd w:id="0"/>
      <w:r w:rsidRPr="00F92C87">
        <w:rPr>
          <w:color w:val="000000"/>
          <w:sz w:val="36"/>
          <w:szCs w:val="36"/>
          <w:shd w:val="clear" w:color="808080" w:fill="FFFFFF"/>
          <w:lang w:val="sv-SE"/>
        </w:rPr>
        <w:t xml:space="preserve">Microsofts </w:t>
      </w:r>
      <w:r w:rsidR="00B66A51" w:rsidRPr="00F92C87">
        <w:rPr>
          <w:color w:val="000000"/>
          <w:sz w:val="36"/>
          <w:szCs w:val="36"/>
          <w:shd w:val="clear" w:color="808080" w:fill="FFFFFF"/>
          <w:lang w:val="sv-SE"/>
        </w:rPr>
        <w:t xml:space="preserve">Definition av </w:t>
      </w:r>
      <w:r w:rsidRPr="00F92C87">
        <w:rPr>
          <w:color w:val="000000"/>
          <w:sz w:val="36"/>
          <w:szCs w:val="36"/>
          <w:shd w:val="clear" w:color="808080" w:fill="FFFFFF"/>
          <w:lang w:val="sv-SE"/>
        </w:rPr>
        <w:t xml:space="preserve">Berättigad </w:t>
      </w:r>
      <w:r w:rsidR="00B66A51" w:rsidRPr="00F92C87">
        <w:rPr>
          <w:color w:val="000000"/>
          <w:sz w:val="36"/>
          <w:szCs w:val="36"/>
          <w:shd w:val="clear" w:color="808080" w:fill="FFFFFF"/>
          <w:lang w:val="sv-SE"/>
        </w:rPr>
        <w:t xml:space="preserve">Enhet Inom Statlig Sektor </w:t>
      </w:r>
      <w:r w:rsidRPr="00F92C87">
        <w:rPr>
          <w:color w:val="000000"/>
          <w:sz w:val="36"/>
          <w:szCs w:val="36"/>
          <w:shd w:val="clear" w:color="808080" w:fill="FFFFFF"/>
          <w:lang w:val="sv-SE"/>
        </w:rPr>
        <w:t>(EMEA)</w:t>
      </w:r>
    </w:p>
    <w:p w:rsidR="00AA3C9F" w:rsidRPr="007B77A8" w:rsidRDefault="00AA3C9F" w:rsidP="00F92C87">
      <w:pPr>
        <w:spacing w:before="360" w:after="120"/>
        <w:rPr>
          <w:shd w:val="clear" w:color="808080" w:fill="FFFFFF"/>
          <w:lang w:val="sv-SE"/>
        </w:rPr>
      </w:pPr>
      <w:r w:rsidRPr="00F92C87">
        <w:rPr>
          <w:shd w:val="clear" w:color="808080" w:fill="FFFFFF"/>
          <w:lang w:val="sv-SE"/>
        </w:rPr>
        <w:lastRenderedPageBreak/>
        <w:t>Vissa organisationer inom offentlig sektor i de kategorier eller med de kriterier som definieras och beskrivs nedan är berättigade att delta i Microsofts volymlicensprogram som är särskilt utformade för myndigheter (”berättigade enheter”).</w:t>
      </w:r>
      <w:r w:rsidR="00F92C87" w:rsidRPr="007B77A8">
        <w:rPr>
          <w:shd w:val="clear" w:color="808080" w:fill="FFFFFF"/>
          <w:lang w:val="sv-SE"/>
        </w:rPr>
        <w:t xml:space="preserve"> </w:t>
      </w:r>
      <w:r w:rsidRPr="00F92C87">
        <w:rPr>
          <w:shd w:val="clear" w:color="808080" w:fill="FFFFFF"/>
          <w:lang w:val="sv-SE"/>
        </w:rPr>
        <w:t>Med en ”berättigad enhet” avses en enhet som drivs utan vinstsyfte och som faller in under någon av följande kategorier:</w:t>
      </w:r>
      <w:r w:rsidR="00F92C87" w:rsidRPr="007B77A8">
        <w:rPr>
          <w:shd w:val="clear" w:color="808080" w:fill="FFFFFF"/>
          <w:lang w:val="sv-SE"/>
        </w:rPr>
        <w:t xml:space="preserve">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1"/>
        <w:gridCol w:w="6688"/>
      </w:tblGrid>
      <w:tr w:rsidR="00AA3C9F" w:rsidRPr="00B66A51" w:rsidTr="00511B4E">
        <w:trPr>
          <w:cantSplit/>
          <w:tblHeader/>
          <w:jc w:val="center"/>
        </w:trPr>
        <w:tc>
          <w:tcPr>
            <w:tcW w:w="9029" w:type="dxa"/>
            <w:gridSpan w:val="2"/>
            <w:shd w:val="clear" w:color="auto" w:fill="000000"/>
          </w:tcPr>
          <w:p w:rsidR="00AA3C9F" w:rsidRPr="00B66A51" w:rsidRDefault="00AA3C9F" w:rsidP="00F92C87">
            <w:pPr>
              <w:keepNext/>
              <w:spacing w:after="120"/>
              <w:rPr>
                <w:rFonts w:eastAsiaTheme="minorHAnsi"/>
                <w:b/>
                <w:bCs/>
                <w:color w:val="FFFFFF" w:themeColor="background1"/>
              </w:rPr>
            </w:pPr>
            <w:proofErr w:type="spellStart"/>
            <w:r w:rsidRPr="00B66A51">
              <w:rPr>
                <w:rFonts w:eastAsiaTheme="minorHAnsi"/>
                <w:b/>
                <w:bCs/>
                <w:color w:val="FFFFFF" w:themeColor="background1"/>
              </w:rPr>
              <w:t>Kategorier</w:t>
            </w:r>
            <w:proofErr w:type="spellEnd"/>
          </w:p>
        </w:tc>
      </w:tr>
      <w:tr w:rsidR="00AA3C9F" w:rsidRPr="007B77A8" w:rsidTr="00511B4E">
        <w:trPr>
          <w:cantSplit/>
          <w:tblHeader/>
          <w:jc w:val="center"/>
        </w:trPr>
        <w:tc>
          <w:tcPr>
            <w:tcW w:w="2341" w:type="dxa"/>
            <w:vAlign w:val="center"/>
          </w:tcPr>
          <w:p w:rsidR="00AA3C9F" w:rsidRPr="00B66A51" w:rsidRDefault="00AA3C9F" w:rsidP="00F92C87">
            <w:pPr>
              <w:spacing w:after="120"/>
              <w:jc w:val="left"/>
              <w:rPr>
                <w:b/>
                <w:bCs/>
                <w:shd w:val="clear" w:color="808080" w:fill="FFFFFF"/>
              </w:rPr>
            </w:pPr>
            <w:r w:rsidRPr="00B66A51">
              <w:rPr>
                <w:b/>
                <w:bCs/>
                <w:shd w:val="clear" w:color="808080" w:fill="FFFFFF"/>
                <w:lang w:val="sv-SE"/>
              </w:rPr>
              <w:t>A. Överstatlig</w:t>
            </w:r>
          </w:p>
        </w:tc>
        <w:tc>
          <w:tcPr>
            <w:tcW w:w="6688" w:type="dxa"/>
            <w:vAlign w:val="center"/>
          </w:tcPr>
          <w:p w:rsidR="00AA3C9F" w:rsidRPr="007B77A8" w:rsidRDefault="00AA3C9F" w:rsidP="00F92C87">
            <w:pPr>
              <w:spacing w:after="120"/>
              <w:rPr>
                <w:shd w:val="clear" w:color="808080" w:fill="FFFFFF"/>
                <w:lang w:val="sv-SE"/>
              </w:rPr>
            </w:pPr>
            <w:r w:rsidRPr="00B66A51">
              <w:rPr>
                <w:shd w:val="clear" w:color="808080" w:fill="FFFFFF"/>
                <w:lang w:val="sv-SE"/>
              </w:rPr>
              <w:t>Alla organisationer/institutioner som har en faktisk reglerande eller lagstiftande roll över flera nationella statsledningar.</w:t>
            </w:r>
          </w:p>
        </w:tc>
      </w:tr>
      <w:tr w:rsidR="00AA3C9F" w:rsidRPr="007B77A8" w:rsidTr="00511B4E">
        <w:trPr>
          <w:cantSplit/>
          <w:tblHeader/>
          <w:jc w:val="center"/>
        </w:trPr>
        <w:tc>
          <w:tcPr>
            <w:tcW w:w="2341" w:type="dxa"/>
            <w:vAlign w:val="center"/>
          </w:tcPr>
          <w:p w:rsidR="00AA3C9F" w:rsidRPr="00B66A51" w:rsidRDefault="00AA3C9F" w:rsidP="00F92C87">
            <w:pPr>
              <w:spacing w:after="120"/>
              <w:jc w:val="left"/>
              <w:rPr>
                <w:b/>
                <w:bCs/>
                <w:shd w:val="clear" w:color="808080" w:fill="FFFFFF"/>
              </w:rPr>
            </w:pPr>
            <w:r w:rsidRPr="00B66A51">
              <w:rPr>
                <w:b/>
                <w:bCs/>
                <w:shd w:val="clear" w:color="808080" w:fill="FFFFFF"/>
                <w:lang w:val="sv-SE"/>
              </w:rPr>
              <w:t>B. Nationell/Federal</w:t>
            </w:r>
          </w:p>
        </w:tc>
        <w:tc>
          <w:tcPr>
            <w:tcW w:w="6688" w:type="dxa"/>
            <w:vAlign w:val="center"/>
          </w:tcPr>
          <w:p w:rsidR="00AA3C9F" w:rsidRPr="007B77A8" w:rsidRDefault="00AA3C9F" w:rsidP="00F92C87">
            <w:pPr>
              <w:spacing w:after="120"/>
              <w:rPr>
                <w:shd w:val="clear" w:color="808080" w:fill="FFFFFF"/>
                <w:lang w:val="sv-SE"/>
              </w:rPr>
            </w:pPr>
            <w:r w:rsidRPr="00B66A51">
              <w:rPr>
                <w:shd w:val="clear" w:color="808080" w:fill="FFFFFF"/>
                <w:lang w:val="sv-SE"/>
              </w:rPr>
              <w:t>Alla organisationer/institutioner som styrs på federal/nationell nivå och som har mandat att styra över en stat eller ett land.</w:t>
            </w:r>
            <w:r w:rsidR="00F92C87" w:rsidRPr="007B77A8">
              <w:rPr>
                <w:shd w:val="clear" w:color="808080" w:fill="FFFFFF"/>
                <w:lang w:val="sv-SE"/>
              </w:rPr>
              <w:t xml:space="preserve"> </w:t>
            </w:r>
            <w:r w:rsidRPr="00B66A51">
              <w:rPr>
                <w:shd w:val="clear" w:color="808080" w:fill="FFFFFF"/>
                <w:lang w:val="sv-SE"/>
              </w:rPr>
              <w:t>Detta inkluderar parlamentariska organ och rättsliga organ med befogenhet att stifta eller tillämpa lagar.</w:t>
            </w:r>
          </w:p>
        </w:tc>
      </w:tr>
      <w:tr w:rsidR="00AA3C9F" w:rsidRPr="007B77A8" w:rsidTr="00511B4E">
        <w:trPr>
          <w:cantSplit/>
          <w:tblHeader/>
          <w:jc w:val="center"/>
        </w:trPr>
        <w:tc>
          <w:tcPr>
            <w:tcW w:w="2341" w:type="dxa"/>
            <w:vAlign w:val="center"/>
          </w:tcPr>
          <w:p w:rsidR="00AA3C9F" w:rsidRPr="00B66A51" w:rsidRDefault="00AA3C9F" w:rsidP="00F92C87">
            <w:pPr>
              <w:spacing w:after="120"/>
              <w:jc w:val="left"/>
              <w:rPr>
                <w:b/>
                <w:bCs/>
                <w:shd w:val="clear" w:color="808080" w:fill="FFFFFF"/>
              </w:rPr>
            </w:pPr>
            <w:r w:rsidRPr="00B66A51">
              <w:rPr>
                <w:b/>
                <w:bCs/>
                <w:shd w:val="clear" w:color="808080" w:fill="FFFFFF"/>
                <w:lang w:val="sv-SE"/>
              </w:rPr>
              <w:t>C. Regional/</w:t>
            </w:r>
            <w:r w:rsidR="00F92C87" w:rsidRPr="00B66A51">
              <w:rPr>
                <w:b/>
                <w:bCs/>
                <w:shd w:val="clear" w:color="808080" w:fill="FFFFFF"/>
                <w:lang w:val="sv-SE"/>
              </w:rPr>
              <w:br/>
            </w:r>
            <w:r w:rsidRPr="00B66A51">
              <w:rPr>
                <w:b/>
                <w:bCs/>
                <w:shd w:val="clear" w:color="808080" w:fill="FFFFFF"/>
                <w:lang w:val="sv-SE"/>
              </w:rPr>
              <w:t>Statlig/Provinsiell</w:t>
            </w:r>
          </w:p>
        </w:tc>
        <w:tc>
          <w:tcPr>
            <w:tcW w:w="6688" w:type="dxa"/>
            <w:vAlign w:val="center"/>
          </w:tcPr>
          <w:p w:rsidR="00AA3C9F" w:rsidRPr="007B77A8" w:rsidRDefault="00AA3C9F" w:rsidP="00F92C87">
            <w:pPr>
              <w:spacing w:after="120"/>
              <w:rPr>
                <w:shd w:val="clear" w:color="808080" w:fill="FFFFFF"/>
                <w:lang w:val="sv-SE"/>
              </w:rPr>
            </w:pPr>
            <w:r w:rsidRPr="00B66A51">
              <w:rPr>
                <w:shd w:val="clear" w:color="808080" w:fill="FFFFFF"/>
                <w:lang w:val="sv-SE"/>
              </w:rPr>
              <w:t>Ett mellanliggande regeringsorgan som inte täcker ett helt land men som har flera områden med lokalt styre inom sin styrande jurisdiktion.</w:t>
            </w:r>
            <w:r w:rsidRPr="007B77A8">
              <w:rPr>
                <w:shd w:val="clear" w:color="808080" w:fill="FFFFFF"/>
                <w:lang w:val="sv-SE"/>
              </w:rPr>
              <w:t xml:space="preserve"> </w:t>
            </w:r>
            <w:r w:rsidRPr="00B66A51">
              <w:rPr>
                <w:shd w:val="clear" w:color="808080" w:fill="FFFFFF"/>
                <w:lang w:val="sv-SE"/>
              </w:rPr>
              <w:t>Detta inkluderar (1) alla statliga organisationer/institutioner som styrs på en statlig/regional nivå och som bland annat kallas:</w:t>
            </w:r>
            <w:r w:rsidRPr="007B77A8">
              <w:rPr>
                <w:shd w:val="clear" w:color="808080" w:fill="FFFFFF"/>
                <w:lang w:val="sv-SE"/>
              </w:rPr>
              <w:t xml:space="preserve"> </w:t>
            </w:r>
            <w:r w:rsidRPr="00B66A51">
              <w:rPr>
                <w:shd w:val="clear" w:color="808080" w:fill="FFFFFF"/>
                <w:lang w:val="sv-SE"/>
              </w:rPr>
              <w:t>regioner, departement, stater, delstater, grevskap eller provinser och (2) alla avdelningar, riksdagsorgan, reglerande myndigheter och rättsliga organ med befogenhet att besluta om rättigheter i regionen, departementet, staten, delstaten, grevskapet eller provinsen.</w:t>
            </w:r>
          </w:p>
        </w:tc>
      </w:tr>
      <w:tr w:rsidR="00AA3C9F" w:rsidRPr="007B77A8" w:rsidTr="00511B4E">
        <w:trPr>
          <w:cantSplit/>
          <w:tblHeader/>
          <w:jc w:val="center"/>
        </w:trPr>
        <w:tc>
          <w:tcPr>
            <w:tcW w:w="2341" w:type="dxa"/>
            <w:vAlign w:val="center"/>
          </w:tcPr>
          <w:p w:rsidR="00AA3C9F" w:rsidRPr="00B66A51" w:rsidRDefault="00AA3C9F" w:rsidP="00F92C87">
            <w:pPr>
              <w:spacing w:after="120"/>
              <w:jc w:val="left"/>
              <w:rPr>
                <w:b/>
                <w:bCs/>
                <w:shd w:val="clear" w:color="808080" w:fill="FFFFFF"/>
              </w:rPr>
            </w:pPr>
            <w:r w:rsidRPr="00B66A51">
              <w:rPr>
                <w:b/>
                <w:bCs/>
                <w:shd w:val="clear" w:color="808080" w:fill="FFFFFF"/>
                <w:lang w:val="sv-SE"/>
              </w:rPr>
              <w:t>D. Lokal/Kommunal</w:t>
            </w:r>
          </w:p>
        </w:tc>
        <w:tc>
          <w:tcPr>
            <w:tcW w:w="6688" w:type="dxa"/>
            <w:vAlign w:val="center"/>
          </w:tcPr>
          <w:p w:rsidR="00AA3C9F" w:rsidRPr="007B77A8" w:rsidRDefault="00AA3C9F" w:rsidP="00F92C87">
            <w:pPr>
              <w:spacing w:after="120"/>
              <w:rPr>
                <w:shd w:val="clear" w:color="808080" w:fill="FFFFFF"/>
                <w:lang w:val="sv-SE"/>
              </w:rPr>
            </w:pPr>
            <w:r w:rsidRPr="00B66A51">
              <w:rPr>
                <w:shd w:val="clear" w:color="808080" w:fill="FFFFFF"/>
                <w:lang w:val="sv-SE"/>
              </w:rPr>
              <w:t>Den lägsta nivån av styrande organ med tillhörande administration.</w:t>
            </w:r>
            <w:r w:rsidRPr="007B77A8">
              <w:rPr>
                <w:shd w:val="clear" w:color="808080" w:fill="FFFFFF"/>
                <w:lang w:val="sv-SE"/>
              </w:rPr>
              <w:t xml:space="preserve"> </w:t>
            </w:r>
            <w:r w:rsidRPr="00B66A51">
              <w:rPr>
                <w:shd w:val="clear" w:color="808080" w:fill="FFFFFF"/>
                <w:lang w:val="sv-SE"/>
              </w:rPr>
              <w:t>Detta inkluderar alla styrande organisationer/institutioner som styrs på kommunal och landstingskommunal nivå (med ansvar för t.ex. fritid och rekreation, renhållning och sophantering, brandförsvar, kontroll av lokala tjänster och genomförande av vissa nationella tjänster).</w:t>
            </w:r>
          </w:p>
        </w:tc>
      </w:tr>
      <w:tr w:rsidR="00AA3C9F" w:rsidRPr="007B77A8" w:rsidTr="00511B4E">
        <w:trPr>
          <w:cantSplit/>
          <w:tblHeader/>
          <w:jc w:val="center"/>
        </w:trPr>
        <w:tc>
          <w:tcPr>
            <w:tcW w:w="2341" w:type="dxa"/>
            <w:vAlign w:val="center"/>
          </w:tcPr>
          <w:p w:rsidR="00AA3C9F" w:rsidRPr="00B66A51" w:rsidRDefault="00AA3C9F" w:rsidP="00F92C87">
            <w:pPr>
              <w:spacing w:after="120"/>
              <w:jc w:val="left"/>
              <w:rPr>
                <w:b/>
                <w:bCs/>
                <w:shd w:val="clear" w:color="808080" w:fill="FFFFFF"/>
              </w:rPr>
            </w:pPr>
            <w:r w:rsidRPr="00B66A51">
              <w:rPr>
                <w:b/>
                <w:bCs/>
                <w:shd w:val="clear" w:color="808080" w:fill="FFFFFF"/>
                <w:lang w:val="sv-SE"/>
              </w:rPr>
              <w:t>E. Sjukvård</w:t>
            </w:r>
          </w:p>
        </w:tc>
        <w:tc>
          <w:tcPr>
            <w:tcW w:w="6688" w:type="dxa"/>
            <w:vAlign w:val="center"/>
          </w:tcPr>
          <w:p w:rsidR="00AA3C9F" w:rsidRPr="007B77A8" w:rsidRDefault="00AA3C9F" w:rsidP="00F92C87">
            <w:pPr>
              <w:spacing w:after="120"/>
              <w:rPr>
                <w:shd w:val="clear" w:color="808080" w:fill="FFFFFF"/>
                <w:lang w:val="sv-SE"/>
              </w:rPr>
            </w:pPr>
            <w:r w:rsidRPr="00B66A51">
              <w:rPr>
                <w:shd w:val="clear" w:color="808080" w:fill="FFFFFF"/>
                <w:lang w:val="sv-SE"/>
              </w:rPr>
              <w:t>Alla statliga organisationer/institutioner som tillhandahåller sjukvårdstjänster och sjukvårdsersättning, som fastställer eller beslutar om sjukvårdspolicy för en nation, stat eller land, finansierar sjukvårdstjänster och sjukvårdsersättning och har en reglerande funktion på området för sjukvårdstjänster och sjukvårdsersättning.</w:t>
            </w:r>
          </w:p>
        </w:tc>
      </w:tr>
      <w:tr w:rsidR="00AA3C9F" w:rsidRPr="007B77A8" w:rsidTr="00511B4E">
        <w:trPr>
          <w:cantSplit/>
          <w:tblHeader/>
          <w:jc w:val="center"/>
        </w:trPr>
        <w:tc>
          <w:tcPr>
            <w:tcW w:w="2341" w:type="dxa"/>
            <w:vAlign w:val="center"/>
          </w:tcPr>
          <w:p w:rsidR="00AA3C9F" w:rsidRPr="00B66A51" w:rsidRDefault="00AA3C9F" w:rsidP="00F92C87">
            <w:pPr>
              <w:spacing w:after="120"/>
              <w:jc w:val="left"/>
              <w:rPr>
                <w:b/>
                <w:bCs/>
                <w:shd w:val="clear" w:color="808080" w:fill="FFFFFF"/>
              </w:rPr>
            </w:pPr>
            <w:r w:rsidRPr="00B66A51">
              <w:rPr>
                <w:b/>
                <w:bCs/>
                <w:shd w:val="clear" w:color="808080" w:fill="FFFFFF"/>
                <w:lang w:val="sv-SE"/>
              </w:rPr>
              <w:t>F. Övriga statliga organisationer</w:t>
            </w:r>
          </w:p>
        </w:tc>
        <w:tc>
          <w:tcPr>
            <w:tcW w:w="6688" w:type="dxa"/>
            <w:vAlign w:val="center"/>
          </w:tcPr>
          <w:p w:rsidR="00AA3C9F" w:rsidRPr="007B77A8" w:rsidRDefault="00AA3C9F" w:rsidP="00F92C87">
            <w:pPr>
              <w:spacing w:after="120"/>
              <w:rPr>
                <w:shd w:val="clear" w:color="808080" w:fill="FFFFFF"/>
                <w:lang w:val="sv-SE"/>
              </w:rPr>
            </w:pPr>
            <w:r w:rsidRPr="00B66A51">
              <w:rPr>
                <w:shd w:val="clear" w:color="808080" w:fill="FFFFFF"/>
                <w:lang w:val="sv-SE"/>
              </w:rPr>
              <w:t>Alla organisationer som är enskilt ansvariga gentemot, och slutligt kontrollerade av en internationellt erkänd regering.</w:t>
            </w:r>
          </w:p>
          <w:p w:rsidR="00AA3C9F" w:rsidRPr="007B77A8" w:rsidRDefault="00AA3C9F" w:rsidP="00F92C87">
            <w:pPr>
              <w:spacing w:before="0" w:after="120"/>
              <w:rPr>
                <w:shd w:val="clear" w:color="808080" w:fill="FFFFFF"/>
                <w:lang w:val="sv-SE"/>
              </w:rPr>
            </w:pPr>
            <w:r w:rsidRPr="00B66A51">
              <w:rPr>
                <w:shd w:val="clear" w:color="808080" w:fill="FFFFFF"/>
                <w:lang w:val="sv-SE"/>
              </w:rPr>
              <w:t>Alla organisationer inrättade enligt lag för att utföra offentliga angelägenheter så som det beskrivs i den relevanta lagstiftningen eller i organisationens verksamhetsbeskrivning/stadgar (t.ex. nämnder, kommunala bolag, statliga forskningsinstitut).</w:t>
            </w:r>
            <w:r w:rsidRPr="007B77A8">
              <w:rPr>
                <w:shd w:val="clear" w:color="808080" w:fill="FFFFFF"/>
                <w:lang w:val="sv-SE"/>
              </w:rPr>
              <w:t xml:space="preserve"> </w:t>
            </w:r>
          </w:p>
        </w:tc>
      </w:tr>
    </w:tbl>
    <w:p w:rsidR="00AA3C9F" w:rsidRPr="007B77A8" w:rsidRDefault="00AA3C9F" w:rsidP="00B66A51">
      <w:pPr>
        <w:rPr>
          <w:shd w:val="clear" w:color="808080" w:fill="FFFFFF"/>
          <w:lang w:val="sv-SE"/>
        </w:rPr>
      </w:pPr>
      <w:r w:rsidRPr="00F92C87">
        <w:rPr>
          <w:shd w:val="clear" w:color="808080" w:fill="FFFFFF"/>
          <w:lang w:val="sv-SE"/>
        </w:rPr>
        <w:t xml:space="preserve">Om en enhet passar in under en av ovanstående kategorier och genererar intäkter eller vinst skall följande tilläggskriterier tillämpas för att avgöra om enheten är kvalificerad som </w:t>
      </w:r>
      <w:r w:rsidR="00B66A51">
        <w:rPr>
          <w:shd w:val="clear" w:color="808080" w:fill="FFFFFF"/>
          <w:lang w:val="sv-SE"/>
        </w:rPr>
        <w:t>”</w:t>
      </w:r>
      <w:r w:rsidRPr="00F92C87">
        <w:rPr>
          <w:shd w:val="clear" w:color="808080" w:fill="FFFFFF"/>
          <w:lang w:val="sv-SE"/>
        </w:rPr>
        <w:t>berättigad enhet”:</w:t>
      </w:r>
    </w:p>
    <w:p w:rsidR="00AA3C9F" w:rsidRPr="007B77A8" w:rsidRDefault="00AA3C9F" w:rsidP="00F92C87">
      <w:pPr>
        <w:pStyle w:val="ListParagraph"/>
        <w:numPr>
          <w:ilvl w:val="0"/>
          <w:numId w:val="1"/>
        </w:numPr>
        <w:ind w:left="1080"/>
        <w:contextualSpacing w:val="0"/>
        <w:rPr>
          <w:shd w:val="clear" w:color="808080" w:fill="FFFFFF"/>
          <w:lang w:val="sv-SE"/>
        </w:rPr>
      </w:pPr>
      <w:r w:rsidRPr="00F92C87">
        <w:rPr>
          <w:shd w:val="clear" w:color="808080" w:fill="FFFFFF"/>
          <w:lang w:val="sv-SE"/>
        </w:rPr>
        <w:t>Tillfaller intäkterna/vinsten uteslutande myndigheten (eller tillfaller de också privata aktieägare)?</w:t>
      </w:r>
    </w:p>
    <w:p w:rsidR="00AA3C9F" w:rsidRPr="007B77A8" w:rsidRDefault="00AA3C9F" w:rsidP="00F92C87">
      <w:pPr>
        <w:pStyle w:val="ListParagraph"/>
        <w:numPr>
          <w:ilvl w:val="0"/>
          <w:numId w:val="1"/>
        </w:numPr>
        <w:ind w:left="1080"/>
        <w:contextualSpacing w:val="0"/>
        <w:rPr>
          <w:shd w:val="clear" w:color="808080" w:fill="FFFFFF"/>
          <w:lang w:val="sv-SE"/>
        </w:rPr>
      </w:pPr>
      <w:r w:rsidRPr="00F92C87">
        <w:rPr>
          <w:shd w:val="clear" w:color="808080" w:fill="FFFFFF"/>
          <w:lang w:val="sv-SE"/>
        </w:rPr>
        <w:t>Är enheten i fråga befriad från bolagsskatt?</w:t>
      </w:r>
    </w:p>
    <w:p w:rsidR="00AA3C9F" w:rsidRPr="007B77A8" w:rsidRDefault="00AA3C9F" w:rsidP="00F92C87">
      <w:pPr>
        <w:pStyle w:val="ListParagraph"/>
        <w:numPr>
          <w:ilvl w:val="0"/>
          <w:numId w:val="1"/>
        </w:numPr>
        <w:ind w:left="1080"/>
        <w:contextualSpacing w:val="0"/>
        <w:rPr>
          <w:shd w:val="clear" w:color="808080" w:fill="FFFFFF"/>
          <w:lang w:val="sv-SE"/>
        </w:rPr>
      </w:pPr>
      <w:r w:rsidRPr="00F92C87">
        <w:rPr>
          <w:shd w:val="clear" w:color="808080" w:fill="FFFFFF"/>
          <w:lang w:val="sv-SE"/>
        </w:rPr>
        <w:t>Finansieras enheten till mer än 50 % av myndigheten (dvs. härrör mindre än 50 % av dess tillgångar från kommersiella aktiviteter)?</w:t>
      </w:r>
    </w:p>
    <w:p w:rsidR="00AA3C9F" w:rsidRPr="007B77A8" w:rsidRDefault="00AA3C9F" w:rsidP="00F92C87">
      <w:pPr>
        <w:rPr>
          <w:shd w:val="clear" w:color="808080" w:fill="FFFFFF"/>
          <w:lang w:val="sv-SE"/>
        </w:rPr>
      </w:pPr>
      <w:r w:rsidRPr="00B66A51">
        <w:rPr>
          <w:shd w:val="clear" w:color="808080" w:fill="FFFFFF"/>
          <w:lang w:val="sv-SE"/>
        </w:rPr>
        <w:lastRenderedPageBreak/>
        <w:t>Om svaret på alla ovanstående frågor är ”ja” utgör enheten en berättigad enhet.</w:t>
      </w:r>
      <w:r w:rsidRPr="007B77A8">
        <w:rPr>
          <w:shd w:val="clear" w:color="808080" w:fill="FFFFFF"/>
          <w:lang w:val="sv-SE"/>
        </w:rPr>
        <w:t xml:space="preserve"> </w:t>
      </w:r>
      <w:r w:rsidRPr="00B66A51">
        <w:rPr>
          <w:shd w:val="clear" w:color="808080" w:fill="FFFFFF"/>
          <w:lang w:val="sv-SE"/>
        </w:rPr>
        <w:t>Om svaret på någon av ovanstående frågor är ”nej” utgör enheten inte en berättigad enhet.</w:t>
      </w:r>
      <w:r w:rsidRPr="007B77A8">
        <w:rPr>
          <w:shd w:val="clear" w:color="808080" w:fill="FFFFFF"/>
          <w:lang w:val="sv-SE"/>
        </w:rPr>
        <w:t xml:space="preserve"> </w:t>
      </w:r>
      <w:r w:rsidRPr="00B66A51">
        <w:rPr>
          <w:shd w:val="clear" w:color="808080" w:fill="FFFFFF"/>
          <w:lang w:val="sv-SE"/>
        </w:rPr>
        <w:t>Statligt ägda bolag, statsägda företag och statligt ägda organisationer (oavsett om de är aktiebolag eller inte) som utför kommersiell verksamhet (t.ex. telekommunikation, bankverksamhet, transporter etc.) utgör i allmänhet inte berättigade enheter.</w:t>
      </w:r>
      <w:r w:rsidRPr="007B77A8">
        <w:rPr>
          <w:shd w:val="clear" w:color="808080" w:fill="FFFFFF"/>
          <w:lang w:val="sv-SE"/>
        </w:rPr>
        <w:t xml:space="preserve"> </w:t>
      </w:r>
    </w:p>
    <w:p w:rsidR="00AA3C9F" w:rsidRPr="007B77A8" w:rsidRDefault="00AA3C9F" w:rsidP="00F92C87">
      <w:pPr>
        <w:rPr>
          <w:shd w:val="clear" w:color="808080" w:fill="FFFFFF"/>
          <w:lang w:val="sv-SE"/>
        </w:rPr>
      </w:pPr>
      <w:r w:rsidRPr="00F92C87">
        <w:rPr>
          <w:shd w:val="clear" w:color="808080" w:fill="FFFFFF"/>
          <w:lang w:val="sv-SE"/>
        </w:rPr>
        <w:t>Om ett lands regering offentliggör en lista över organisationer inom den offentliga sektorn måste de organisationerna uppfylla de kriterier som anges i denna definition för att utgöra en berättigad enhet.</w:t>
      </w:r>
      <w:r w:rsidRPr="007B77A8">
        <w:rPr>
          <w:shd w:val="clear" w:color="808080" w:fill="FFFFFF"/>
          <w:lang w:val="sv-SE"/>
        </w:rPr>
        <w:t xml:space="preserve"> </w:t>
      </w:r>
    </w:p>
    <w:p w:rsidR="00AA3C9F" w:rsidRPr="007B77A8" w:rsidRDefault="00AA3C9F" w:rsidP="00F92C87">
      <w:pPr>
        <w:rPr>
          <w:shd w:val="clear" w:color="808080" w:fill="FFFFFF"/>
          <w:lang w:val="sv-SE"/>
        </w:rPr>
      </w:pPr>
      <w:r w:rsidRPr="00F92C87">
        <w:rPr>
          <w:shd w:val="clear" w:color="808080" w:fill="FFFFFF"/>
          <w:lang w:val="sv-SE"/>
        </w:rPr>
        <w:t>Om en organisation förlorar sin status som behörig myndighetsenhet efter att ha undertecknat ett licensavtal får organisationen fortsätta att använda de exemplar för vilka organisationen har licens, men organisationen får inte inge några nya beställningar för Licenser enligt Microsoft Government License-programmet.</w:t>
      </w:r>
      <w:r w:rsidRPr="007B77A8">
        <w:rPr>
          <w:shd w:val="clear" w:color="808080" w:fill="FFFFFF"/>
          <w:lang w:val="sv-SE"/>
        </w:rPr>
        <w:t xml:space="preserve"> </w:t>
      </w:r>
    </w:p>
    <w:p w:rsidR="00AA3C9F" w:rsidRPr="007B77A8" w:rsidRDefault="00AA3C9F" w:rsidP="00F92C87">
      <w:pPr>
        <w:rPr>
          <w:shd w:val="clear" w:color="808080" w:fill="FFFFFF"/>
          <w:lang w:val="sv-SE"/>
        </w:rPr>
      </w:pPr>
      <w:r w:rsidRPr="00F92C87">
        <w:rPr>
          <w:shd w:val="clear" w:color="808080" w:fill="FFFFFF"/>
          <w:lang w:val="sv-SE"/>
        </w:rPr>
        <w:t>Microsoft tillämpar en volymbaserad rabatt berättigade enheter i vissa bestämda länder, om det sammanlagda antalet licensbeställningar inom det Microsoft-volymlicensprogram till vilket enheten är ansluten uppgår till minst motsvarande 15 000 desktops eller 75 000 poäng per produktgrupp.</w:t>
      </w:r>
      <w:r w:rsidR="00F92C87" w:rsidRPr="007B77A8">
        <w:rPr>
          <w:shd w:val="clear" w:color="808080" w:fill="FFFFFF"/>
          <w:lang w:val="sv-SE"/>
        </w:rPr>
        <w:t xml:space="preserve"> </w:t>
      </w:r>
      <w:r w:rsidRPr="00F92C87">
        <w:rPr>
          <w:shd w:val="clear" w:color="808080" w:fill="FFFFFF"/>
          <w:lang w:val="sv-SE"/>
        </w:rPr>
        <w:t>Denna mängd kvalificerar sådana enheter till (1) prisnivå D för Enterprise-, Enterprise Subscription-, Select-, eller Select Plus-avtal enligt definitionen i tillämpligt Enrollment eller likvärdigt avtal och/eller (2) andra specifika volymrabatter som är tillgängliga för berättigade enheter inom ramen för ett Microsoft-volymlicensprogram.</w:t>
      </w:r>
    </w:p>
    <w:p w:rsidR="00AA3C9F" w:rsidRPr="007B77A8" w:rsidRDefault="00AA3C9F" w:rsidP="00F92C87">
      <w:pPr>
        <w:rPr>
          <w:shd w:val="clear" w:color="808080" w:fill="FFFFFF"/>
          <w:lang w:val="sv-SE"/>
        </w:rPr>
      </w:pPr>
      <w:r w:rsidRPr="00F92C87">
        <w:rPr>
          <w:shd w:val="clear" w:color="808080" w:fill="FFFFFF"/>
          <w:lang w:val="sv-SE"/>
        </w:rPr>
        <w:t>Endast berättigade enheter omfattas av de volymbaserade rabatterade prisnivåerna och endast under den tid den rabatterade prisnivån är tillgänglig inom ramen för Microsofts volymlicensprogram och avtalet.</w:t>
      </w:r>
    </w:p>
    <w:sectPr w:rsidR="00AA3C9F" w:rsidRPr="007B77A8" w:rsidSect="00DB05D8">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1BD" w:rsidRDefault="00B141BD" w:rsidP="00CF4E9C">
      <w:pPr>
        <w:spacing w:before="0"/>
      </w:pPr>
      <w:r>
        <w:separator/>
      </w:r>
    </w:p>
  </w:endnote>
  <w:endnote w:type="continuationSeparator" w:id="0">
    <w:p w:rsidR="00B141BD" w:rsidRDefault="00B141BD"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F92C87" w:rsidRPr="00387A64" w:rsidTr="00611058">
      <w:trPr>
        <w:jc w:val="center"/>
      </w:trPr>
      <w:tc>
        <w:tcPr>
          <w:tcW w:w="4621" w:type="dxa"/>
        </w:tcPr>
        <w:p w:rsidR="00F92C87" w:rsidRPr="00387A64" w:rsidRDefault="00F92C87" w:rsidP="00611058">
          <w:pPr>
            <w:pStyle w:val="Footer"/>
            <w:rPr>
              <w:sz w:val="16"/>
              <w:szCs w:val="16"/>
            </w:rPr>
          </w:pPr>
          <w:proofErr w:type="spellStart"/>
          <w:r w:rsidRPr="00387A64">
            <w:rPr>
              <w:sz w:val="16"/>
              <w:szCs w:val="16"/>
            </w:rPr>
            <w:t>GovEligibilityDef</w:t>
          </w:r>
          <w:proofErr w:type="spellEnd"/>
          <w:r w:rsidRPr="00387A64">
            <w:rPr>
              <w:sz w:val="16"/>
              <w:szCs w:val="16"/>
            </w:rPr>
            <w:t>(</w:t>
          </w:r>
          <w:r>
            <w:rPr>
              <w:sz w:val="16"/>
              <w:szCs w:val="16"/>
            </w:rPr>
            <w:t>EMEA)</w:t>
          </w:r>
          <w:r w:rsidRPr="00387A64">
            <w:rPr>
              <w:sz w:val="16"/>
              <w:szCs w:val="16"/>
            </w:rPr>
            <w:t>(</w:t>
          </w:r>
          <w:r>
            <w:rPr>
              <w:sz w:val="16"/>
              <w:szCs w:val="16"/>
            </w:rPr>
            <w:t>SWE</w:t>
          </w:r>
          <w:r w:rsidRPr="00387A64">
            <w:rPr>
              <w:sz w:val="16"/>
              <w:szCs w:val="16"/>
            </w:rPr>
            <w:t>)(Oct2012)</w:t>
          </w:r>
        </w:p>
      </w:tc>
      <w:tc>
        <w:tcPr>
          <w:tcW w:w="4622" w:type="dxa"/>
        </w:tcPr>
        <w:p w:rsidR="00F92C87" w:rsidRPr="00387A64" w:rsidRDefault="00F92C87" w:rsidP="00611058">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69122F">
            <w:rPr>
              <w:noProof/>
              <w:sz w:val="16"/>
              <w:szCs w:val="16"/>
            </w:rPr>
            <w:t>2</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69122F">
            <w:rPr>
              <w:noProof/>
              <w:sz w:val="16"/>
              <w:szCs w:val="16"/>
            </w:rPr>
            <w:t>2</w:t>
          </w:r>
          <w:r w:rsidRPr="00387A64">
            <w:rPr>
              <w:noProof/>
              <w:sz w:val="16"/>
              <w:szCs w:val="16"/>
            </w:rPr>
            <w:fldChar w:fldCharType="end"/>
          </w:r>
        </w:p>
      </w:tc>
    </w:tr>
  </w:tbl>
  <w:p w:rsidR="00F92C87" w:rsidRPr="00E17EAA" w:rsidRDefault="00F92C87" w:rsidP="00F92C87">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F92C87" w:rsidRPr="00387A64" w:rsidTr="00611058">
      <w:trPr>
        <w:jc w:val="center"/>
      </w:trPr>
      <w:tc>
        <w:tcPr>
          <w:tcW w:w="4621" w:type="dxa"/>
        </w:tcPr>
        <w:p w:rsidR="00F92C87" w:rsidRPr="00387A64" w:rsidRDefault="00F92C87" w:rsidP="00F92C87">
          <w:pPr>
            <w:pStyle w:val="Footer"/>
            <w:rPr>
              <w:sz w:val="16"/>
              <w:szCs w:val="16"/>
            </w:rPr>
          </w:pPr>
          <w:proofErr w:type="spellStart"/>
          <w:r w:rsidRPr="00387A64">
            <w:rPr>
              <w:sz w:val="16"/>
              <w:szCs w:val="16"/>
            </w:rPr>
            <w:t>GovEligibilityDef</w:t>
          </w:r>
          <w:proofErr w:type="spellEnd"/>
          <w:r w:rsidRPr="00387A64">
            <w:rPr>
              <w:sz w:val="16"/>
              <w:szCs w:val="16"/>
            </w:rPr>
            <w:t>(</w:t>
          </w:r>
          <w:r>
            <w:rPr>
              <w:sz w:val="16"/>
              <w:szCs w:val="16"/>
            </w:rPr>
            <w:t>EMEA)</w:t>
          </w:r>
          <w:r w:rsidRPr="00387A64">
            <w:rPr>
              <w:sz w:val="16"/>
              <w:szCs w:val="16"/>
            </w:rPr>
            <w:t>(</w:t>
          </w:r>
          <w:r>
            <w:rPr>
              <w:sz w:val="16"/>
              <w:szCs w:val="16"/>
            </w:rPr>
            <w:t>SWE</w:t>
          </w:r>
          <w:r w:rsidRPr="00387A64">
            <w:rPr>
              <w:sz w:val="16"/>
              <w:szCs w:val="16"/>
            </w:rPr>
            <w:t>)(Oct2012)</w:t>
          </w:r>
        </w:p>
      </w:tc>
      <w:tc>
        <w:tcPr>
          <w:tcW w:w="4622" w:type="dxa"/>
        </w:tcPr>
        <w:p w:rsidR="00F92C87" w:rsidRPr="00387A64" w:rsidRDefault="00F92C87" w:rsidP="00611058">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69122F">
            <w:rPr>
              <w:noProof/>
              <w:sz w:val="16"/>
              <w:szCs w:val="16"/>
            </w:rPr>
            <w:t>1</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69122F">
            <w:rPr>
              <w:noProof/>
              <w:sz w:val="16"/>
              <w:szCs w:val="16"/>
            </w:rPr>
            <w:t>2</w:t>
          </w:r>
          <w:r w:rsidRPr="00387A64">
            <w:rPr>
              <w:noProof/>
              <w:sz w:val="16"/>
              <w:szCs w:val="16"/>
            </w:rPr>
            <w:fldChar w:fldCharType="end"/>
          </w:r>
        </w:p>
      </w:tc>
    </w:tr>
  </w:tbl>
  <w:p w:rsidR="00F92C87" w:rsidRPr="00E17EAA" w:rsidRDefault="00F92C87" w:rsidP="00F92C87">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1BD" w:rsidRDefault="00B141BD" w:rsidP="00CF4E9C">
      <w:pPr>
        <w:spacing w:before="0"/>
      </w:pPr>
      <w:r>
        <w:separator/>
      </w:r>
    </w:p>
  </w:footnote>
  <w:footnote w:type="continuationSeparator" w:id="0">
    <w:p w:rsidR="00B141BD" w:rsidRDefault="00B141BD"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C9F" w:rsidRDefault="00B141BD">
    <w:pPr>
      <w:pStyle w:val="Heade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446.4pt;height:251.65pt;z-index:251659264;visibility:visible;mso-position-horizontal:center;mso-position-horizontal-relative:margin;mso-position-vertical:center;mso-position-vertical-relative:margin">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87" w:rsidRDefault="00F92C87" w:rsidP="00F92C87">
    <w:pPr>
      <w:pStyle w:val="Header"/>
      <w:jc w:val="right"/>
    </w:pPr>
    <w:r>
      <w:rPr>
        <w:noProof/>
      </w:rPr>
      <w:drawing>
        <wp:anchor distT="0" distB="0" distL="114300" distR="114300" simplePos="0" relativeHeight="251661312" behindDoc="0" locked="0" layoutInCell="1" allowOverlap="1" wp14:anchorId="43539E07" wp14:editId="79E25239">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A79532F" wp14:editId="1B79234B">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22136F6"/>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9B6D05"/>
    <w:multiLevelType w:val="hybridMultilevel"/>
    <w:tmpl w:val="FC2E0CBE"/>
    <w:lvl w:ilvl="0" w:tplc="1124D4FA">
      <w:start w:val="1"/>
      <w:numFmt w:val="decimal"/>
      <w:lvlText w:val="%1."/>
      <w:lvlJc w:val="left"/>
      <w:pPr>
        <w:ind w:left="720" w:hanging="360"/>
      </w:pPr>
      <w:rPr>
        <w:rFonts w:cs="Times New Roman"/>
        <w:b/>
        <w:bCs/>
        <w:color w:val="00B0F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A941251"/>
    <w:multiLevelType w:val="hybridMultilevel"/>
    <w:tmpl w:val="DBA03C4C"/>
    <w:lvl w:ilvl="0" w:tplc="BFE2E13A">
      <w:start w:val="1"/>
      <w:numFmt w:val="lowerLetter"/>
      <w:lvlText w:val="%1."/>
      <w:lvlJc w:val="left"/>
      <w:pPr>
        <w:ind w:left="1080" w:hanging="720"/>
      </w:pPr>
      <w:rPr>
        <w:rFonts w:cs="Times New Roman" w:hint="default"/>
        <w:b/>
        <w:bCs/>
      </w:rPr>
    </w:lvl>
    <w:lvl w:ilvl="1" w:tplc="9998E7A4">
      <w:start w:val="1"/>
      <w:numFmt w:val="bullet"/>
      <w:lvlText w:val="•"/>
      <w:lvlJc w:val="left"/>
      <w:pPr>
        <w:ind w:left="1440" w:hanging="360"/>
      </w:pPr>
      <w:rPr>
        <w:rFonts w:ascii="Arial" w:eastAsia="Times New Roman" w:hAnsi="Aria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2">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E0767"/>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0"/>
  </w:num>
  <w:num w:numId="6">
    <w:abstractNumId w:val="9"/>
  </w:num>
  <w:num w:numId="7">
    <w:abstractNumId w:val="4"/>
  </w:num>
  <w:num w:numId="8">
    <w:abstractNumId w:val="15"/>
  </w:num>
  <w:num w:numId="9">
    <w:abstractNumId w:val="12"/>
  </w:num>
  <w:num w:numId="10">
    <w:abstractNumId w:val="0"/>
  </w:num>
  <w:num w:numId="11">
    <w:abstractNumId w:val="5"/>
  </w:num>
  <w:num w:numId="12">
    <w:abstractNumId w:val="13"/>
  </w:num>
  <w:num w:numId="13">
    <w:abstractNumId w:val="7"/>
  </w:num>
  <w:num w:numId="14">
    <w:abstractNumId w:val="11"/>
  </w:num>
  <w:num w:numId="15">
    <w:abstractNumId w:val="14"/>
  </w:num>
  <w:num w:numId="16">
    <w:abstractNumId w:val="3"/>
  </w:num>
  <w:num w:numId="17">
    <w:abstractNumId w:val="22"/>
  </w:num>
  <w:num w:numId="18">
    <w:abstractNumId w:val="16"/>
  </w:num>
  <w:num w:numId="19">
    <w:abstractNumId w:val="19"/>
  </w:num>
  <w:num w:numId="20">
    <w:abstractNumId w:val="20"/>
  </w:num>
  <w:num w:numId="21">
    <w:abstractNumId w:val="23"/>
  </w:num>
  <w:num w:numId="22">
    <w:abstractNumId w:val="17"/>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taOOKNDMY7+U4vfPOrHgf3c2fFWDVuVAQV+b0KJu+sPQP3tPfTSlebnbMvJaQs/sNFtcUQe7rSs1RmcwvRqtgQ==" w:salt="xFmEaC4HSD4mImq/gRFaxw=="/>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C"/>
    <w:rsid w:val="0001351A"/>
    <w:rsid w:val="00027108"/>
    <w:rsid w:val="000754AC"/>
    <w:rsid w:val="000829B7"/>
    <w:rsid w:val="000C5797"/>
    <w:rsid w:val="000C57B7"/>
    <w:rsid w:val="000E2821"/>
    <w:rsid w:val="00104B31"/>
    <w:rsid w:val="001229CC"/>
    <w:rsid w:val="001A4EAB"/>
    <w:rsid w:val="001C22BC"/>
    <w:rsid w:val="002130A4"/>
    <w:rsid w:val="00214A95"/>
    <w:rsid w:val="002323B0"/>
    <w:rsid w:val="002411B6"/>
    <w:rsid w:val="00244281"/>
    <w:rsid w:val="00254540"/>
    <w:rsid w:val="002909E8"/>
    <w:rsid w:val="002B1126"/>
    <w:rsid w:val="002B2F01"/>
    <w:rsid w:val="002C7228"/>
    <w:rsid w:val="002C7665"/>
    <w:rsid w:val="002F2434"/>
    <w:rsid w:val="002F72AA"/>
    <w:rsid w:val="00336706"/>
    <w:rsid w:val="003633BD"/>
    <w:rsid w:val="00380578"/>
    <w:rsid w:val="00387A64"/>
    <w:rsid w:val="003B6DC6"/>
    <w:rsid w:val="003B734B"/>
    <w:rsid w:val="00493CEC"/>
    <w:rsid w:val="00511B4E"/>
    <w:rsid w:val="00513724"/>
    <w:rsid w:val="00572EC0"/>
    <w:rsid w:val="005D37CF"/>
    <w:rsid w:val="005D760D"/>
    <w:rsid w:val="0064711A"/>
    <w:rsid w:val="0069122F"/>
    <w:rsid w:val="006F214E"/>
    <w:rsid w:val="00764D34"/>
    <w:rsid w:val="007B77A8"/>
    <w:rsid w:val="007C4593"/>
    <w:rsid w:val="007E0B16"/>
    <w:rsid w:val="007E1AD7"/>
    <w:rsid w:val="007E6D6A"/>
    <w:rsid w:val="00801B59"/>
    <w:rsid w:val="00814D01"/>
    <w:rsid w:val="00823D91"/>
    <w:rsid w:val="00837C81"/>
    <w:rsid w:val="00845DF2"/>
    <w:rsid w:val="0084628C"/>
    <w:rsid w:val="00883E16"/>
    <w:rsid w:val="008B6A73"/>
    <w:rsid w:val="008C2185"/>
    <w:rsid w:val="00997BA6"/>
    <w:rsid w:val="009B1C45"/>
    <w:rsid w:val="009B4A1E"/>
    <w:rsid w:val="00AA2506"/>
    <w:rsid w:val="00AA3C9F"/>
    <w:rsid w:val="00AA5A57"/>
    <w:rsid w:val="00AC0D0B"/>
    <w:rsid w:val="00AD5C4D"/>
    <w:rsid w:val="00B141BD"/>
    <w:rsid w:val="00B66A51"/>
    <w:rsid w:val="00B87592"/>
    <w:rsid w:val="00BF7180"/>
    <w:rsid w:val="00C258D4"/>
    <w:rsid w:val="00C71871"/>
    <w:rsid w:val="00CC305F"/>
    <w:rsid w:val="00CC5A88"/>
    <w:rsid w:val="00CC770E"/>
    <w:rsid w:val="00CF4E9C"/>
    <w:rsid w:val="00D24BCE"/>
    <w:rsid w:val="00D408F9"/>
    <w:rsid w:val="00D85594"/>
    <w:rsid w:val="00D9241A"/>
    <w:rsid w:val="00DB05D8"/>
    <w:rsid w:val="00E02027"/>
    <w:rsid w:val="00E17EAA"/>
    <w:rsid w:val="00E24334"/>
    <w:rsid w:val="00ED2A13"/>
    <w:rsid w:val="00F2007B"/>
    <w:rsid w:val="00F24527"/>
    <w:rsid w:val="00F55852"/>
    <w:rsid w:val="00F90738"/>
    <w:rsid w:val="00F9234D"/>
    <w:rsid w:val="00F92C87"/>
    <w:rsid w:val="00FA3838"/>
    <w:rsid w:val="00FB294F"/>
    <w:rsid w:val="00FE1D1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0D4C94BB-B8DC-4639-B9FF-FF4850FD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706"/>
    <w:pPr>
      <w:spacing w:before="120"/>
      <w:jc w:val="both"/>
    </w:pPr>
    <w:rPr>
      <w:rFonts w:eastAsia="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goportTag">
    <w:name w:val="LogoportTag"/>
    <w:uiPriority w:val="99"/>
    <w:rPr>
      <w:rFonts w:ascii="Courier New" w:hAnsi="Courier New"/>
      <w:noProof/>
      <w:vanish/>
      <w:color w:val="800080"/>
      <w:sz w:val="20"/>
      <w:vertAlign w:val="subscript"/>
    </w:rPr>
  </w:style>
  <w:style w:type="paragraph" w:styleId="Header">
    <w:name w:val="header"/>
    <w:basedOn w:val="Normal"/>
    <w:link w:val="HeaderChar"/>
    <w:uiPriority w:val="99"/>
    <w:rsid w:val="00CF4E9C"/>
    <w:pPr>
      <w:tabs>
        <w:tab w:val="center" w:pos="4680"/>
        <w:tab w:val="right" w:pos="9360"/>
      </w:tabs>
      <w:spacing w:before="0"/>
    </w:pPr>
  </w:style>
  <w:style w:type="character" w:customStyle="1" w:styleId="HeaderChar">
    <w:name w:val="Header Char"/>
    <w:basedOn w:val="DefaultParagraphFont"/>
    <w:link w:val="Header"/>
    <w:uiPriority w:val="99"/>
    <w:locked/>
    <w:rsid w:val="00CF4E9C"/>
    <w:rPr>
      <w:rFonts w:cs="Times New Roman"/>
    </w:rPr>
  </w:style>
  <w:style w:type="paragraph" w:styleId="Footer">
    <w:name w:val="footer"/>
    <w:basedOn w:val="Normal"/>
    <w:link w:val="FooterChar"/>
    <w:uiPriority w:val="99"/>
    <w:rsid w:val="00CF4E9C"/>
    <w:pPr>
      <w:tabs>
        <w:tab w:val="center" w:pos="4680"/>
        <w:tab w:val="right" w:pos="9360"/>
      </w:tabs>
      <w:spacing w:before="0"/>
    </w:pPr>
  </w:style>
  <w:style w:type="character" w:customStyle="1" w:styleId="FooterChar">
    <w:name w:val="Footer Char"/>
    <w:basedOn w:val="DefaultParagraphFont"/>
    <w:link w:val="Footer"/>
    <w:uiPriority w:val="99"/>
    <w:locked/>
    <w:rsid w:val="00CF4E9C"/>
    <w:rPr>
      <w:rFonts w:cs="Times New Roman"/>
    </w:rPr>
  </w:style>
  <w:style w:type="table" w:styleId="TableGrid">
    <w:name w:val="Table Grid"/>
    <w:basedOn w:val="TableNormal"/>
    <w:uiPriority w:val="59"/>
    <w:rsid w:val="00CF4E9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F4E9C"/>
    <w:pPr>
      <w:ind w:left="720"/>
      <w:contextualSpacing/>
    </w:pPr>
  </w:style>
  <w:style w:type="paragraph" w:styleId="BalloonText">
    <w:name w:val="Balloon Text"/>
    <w:basedOn w:val="Normal"/>
    <w:link w:val="BalloonTextChar"/>
    <w:uiPriority w:val="99"/>
    <w:semiHidden/>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7EAA"/>
    <w:rPr>
      <w:rFonts w:ascii="Tahoma" w:hAnsi="Tahoma"/>
      <w:sz w:val="16"/>
    </w:rPr>
  </w:style>
  <w:style w:type="character" w:styleId="CommentReference">
    <w:name w:val="annotation reference"/>
    <w:basedOn w:val="DefaultParagraphFont"/>
    <w:uiPriority w:val="99"/>
    <w:semiHidden/>
    <w:rsid w:val="002B1126"/>
    <w:rPr>
      <w:rFonts w:cs="Times New Roman"/>
      <w:sz w:val="16"/>
    </w:rPr>
  </w:style>
  <w:style w:type="paragraph" w:styleId="CommentText">
    <w:name w:val="annotation text"/>
    <w:basedOn w:val="Normal"/>
    <w:link w:val="CommentTextChar"/>
    <w:uiPriority w:val="99"/>
    <w:semiHidden/>
    <w:rsid w:val="002B1126"/>
  </w:style>
  <w:style w:type="character" w:customStyle="1" w:styleId="CommentTextChar">
    <w:name w:val="Comment Text Char"/>
    <w:basedOn w:val="DefaultParagraphFont"/>
    <w:link w:val="CommentText"/>
    <w:uiPriority w:val="99"/>
    <w:semiHidden/>
    <w:locked/>
    <w:rsid w:val="002B1126"/>
    <w:rPr>
      <w:rFonts w:cs="Times New Roman"/>
    </w:rPr>
  </w:style>
  <w:style w:type="paragraph" w:styleId="CommentSubject">
    <w:name w:val="annotation subject"/>
    <w:basedOn w:val="CommentText"/>
    <w:next w:val="CommentText"/>
    <w:link w:val="CommentSubjectChar"/>
    <w:uiPriority w:val="99"/>
    <w:semiHidden/>
    <w:rsid w:val="002B1126"/>
    <w:rPr>
      <w:b/>
      <w:bCs/>
    </w:rPr>
  </w:style>
  <w:style w:type="character" w:customStyle="1" w:styleId="CommentSubjectChar">
    <w:name w:val="Comment Subject Char"/>
    <w:basedOn w:val="CommentTextChar"/>
    <w:link w:val="CommentSubject"/>
    <w:uiPriority w:val="99"/>
    <w:semiHidden/>
    <w:locked/>
    <w:rsid w:val="002B1126"/>
    <w:rPr>
      <w:rFonts w:cs="Times New Roman"/>
      <w:b/>
    </w:rPr>
  </w:style>
  <w:style w:type="paragraph" w:styleId="Revision">
    <w:name w:val="Revision"/>
    <w:hidden/>
    <w:uiPriority w:val="99"/>
    <w:semiHidden/>
    <w:rsid w:val="002B1126"/>
    <w:rPr>
      <w:rFonts w:eastAsia="Times New Roman"/>
      <w:sz w:val="20"/>
      <w:szCs w:val="20"/>
      <w:lang w:eastAsia="en-US"/>
    </w:rPr>
  </w:style>
  <w:style w:type="character" w:customStyle="1" w:styleId="LogoportDoNotTranslate">
    <w:name w:val="LogoportDoNotTranslate"/>
    <w:uiPriority w:val="99"/>
    <w:rsid w:val="002909E8"/>
    <w:rPr>
      <w:rFonts w:ascii="Courier New" w:hAnsi="Courier New"/>
      <w:color w:val="808080"/>
      <w:sz w:val="36"/>
    </w:rPr>
  </w:style>
  <w:style w:type="character" w:customStyle="1" w:styleId="LogoportMarkup">
    <w:name w:val="LogoportMarkup"/>
    <w:uiPriority w:val="99"/>
    <w:rsid w:val="002909E8"/>
    <w:rPr>
      <w:rFonts w:ascii="Courier New" w:hAnsi="Courier New"/>
      <w:color w:val="FF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1" ma:contentTypeDescription="Create a new document." ma:contentTypeScope="" ma:versionID="b82d902300fe643f54989e48d978d143">
  <xsd:schema xmlns:xsd="http://www.w3.org/2001/XMLSchema" xmlns:xs="http://www.w3.org/2001/XMLSchema" xmlns:p="http://schemas.microsoft.com/office/2006/metadata/properties" xmlns:ns2="e88c8595-7a54-4763-b631-cc97d5e1459b" targetNamespace="http://schemas.microsoft.com/office/2006/metadata/properties" ma:root="true" ma:fieldsID="d48aaae45efe4d87dcf73820c46bc0e7" ns2:_="">
    <xsd:import namespace="e88c8595-7a54-4763-b631-cc97d5e145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19178-16DA-4F6C-ADC7-CD7A6E793E3C}"/>
</file>

<file path=customXml/itemProps2.xml><?xml version="1.0" encoding="utf-8"?>
<ds:datastoreItem xmlns:ds="http://schemas.openxmlformats.org/officeDocument/2006/customXml" ds:itemID="{D436FBC9-575A-4AF3-ACF6-47CC1047A73D}"/>
</file>

<file path=customXml/itemProps3.xml><?xml version="1.0" encoding="utf-8"?>
<ds:datastoreItem xmlns:ds="http://schemas.openxmlformats.org/officeDocument/2006/customXml" ds:itemID="{94723A53-71C2-4890-91A7-A3A63D7BF224}"/>
</file>

<file path=docProps/app.xml><?xml version="1.0" encoding="utf-8"?>
<Properties xmlns="http://schemas.openxmlformats.org/officeDocument/2006/extended-properties" xmlns:vt="http://schemas.openxmlformats.org/officeDocument/2006/docPropsVTypes">
  <Template>Normal</Template>
  <TotalTime>0</TotalTime>
  <Pages>1</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Government Eligibility Definition (EMEA) </vt:lpstr>
    </vt:vector>
  </TitlesOfParts>
  <Company>Xtreme Consulting Group, Inc.</Company>
  <LinksUpToDate>false</LinksUpToDate>
  <CharactersWithSpaces>4774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Government Eligibility Definition (EMEA)</dc:title>
  <dc:subject/>
  <dc:creator>Microsoft</dc:creator>
  <cp:keywords/>
  <dc:description/>
  <cp:lastModifiedBy>Kelly Schuster (Simple Concepts)</cp:lastModifiedBy>
  <cp:revision>4</cp:revision>
  <cp:lastPrinted>2012-03-08T00:30:00Z</cp:lastPrinted>
  <dcterms:created xsi:type="dcterms:W3CDTF">2014-07-15T19:11:00Z</dcterms:created>
  <dcterms:modified xsi:type="dcterms:W3CDTF">2014-07-15T19:11:00Z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0x010100BD4606ED501493498C08193A2407831D</vt:lpwstr>
  </property>
</Properties>
</file>