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A8525" w14:textId="3AF19248" w:rsidR="00CF4E9C" w:rsidRPr="0064711A" w:rsidRDefault="00CF4E9C" w:rsidP="00CF4E9C">
      <w:pPr>
        <w:spacing w:before="240"/>
        <w:rPr>
          <w:sz w:val="36"/>
          <w:szCs w:val="36"/>
        </w:rPr>
      </w:pPr>
      <w:bookmarkStart w:id="0" w:name="_GoBack"/>
      <w:bookmarkEnd w:id="0"/>
      <w:r w:rsidRPr="0064711A">
        <w:rPr>
          <w:sz w:val="36"/>
          <w:szCs w:val="36"/>
        </w:rPr>
        <w:t>Microsoft G</w:t>
      </w:r>
      <w:r w:rsidR="00F67186">
        <w:rPr>
          <w:sz w:val="36"/>
          <w:szCs w:val="36"/>
        </w:rPr>
        <w:t xml:space="preserve">overnment Eligibility Definition </w:t>
      </w:r>
      <w:r w:rsidRPr="0064711A">
        <w:rPr>
          <w:sz w:val="36"/>
          <w:szCs w:val="36"/>
        </w:rPr>
        <w:t>(</w:t>
      </w:r>
      <w:r w:rsidR="006343DB">
        <w:rPr>
          <w:sz w:val="36"/>
          <w:szCs w:val="36"/>
        </w:rPr>
        <w:t>United States</w:t>
      </w:r>
      <w:r w:rsidRPr="0064711A">
        <w:rPr>
          <w:sz w:val="36"/>
          <w:szCs w:val="36"/>
        </w:rPr>
        <w:t>)</w:t>
      </w:r>
    </w:p>
    <w:p w14:paraId="6332ABA4" w14:textId="77777777" w:rsidR="00CF4E9C" w:rsidRPr="0064711A" w:rsidRDefault="00D376B3" w:rsidP="00F67186">
      <w:pPr>
        <w:spacing w:before="360"/>
      </w:pPr>
      <w:r>
        <w:t>O</w:t>
      </w:r>
      <w:r w:rsidR="002B1126">
        <w:t>rganizations that fall into</w:t>
      </w:r>
      <w:r>
        <w:t xml:space="preserve"> one or more of</w:t>
      </w:r>
      <w:r w:rsidR="002B1126">
        <w:t xml:space="preserve"> the categories or criteria </w:t>
      </w:r>
      <w:r>
        <w:t>set forth</w:t>
      </w:r>
      <w:r w:rsidR="002B1126">
        <w:t xml:space="preserve"> </w:t>
      </w:r>
      <w:r w:rsidR="00AA5A57">
        <w:t>b</w:t>
      </w:r>
      <w:r w:rsidR="002B1126">
        <w:t>elow are eligible to participate in Microsoft volume licensing programs specifically designed for government</w:t>
      </w:r>
      <w:r>
        <w:t xml:space="preserve"> organizations</w:t>
      </w:r>
      <w:r w:rsidR="002B1126">
        <w:t xml:space="preserve">.  </w:t>
      </w:r>
    </w:p>
    <w:p w14:paraId="29EF8C32" w14:textId="77777777" w:rsidR="00CF4E9C" w:rsidRPr="0064711A" w:rsidRDefault="00CF4E9C" w:rsidP="00CF4E9C">
      <w:pPr>
        <w:spacing w:after="120"/>
      </w:pPr>
      <w:r w:rsidRPr="0064711A">
        <w:t xml:space="preserve">An “eligible entity” means any organization that does not operate for profit and that falls into one of the following categories:  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2427"/>
        <w:gridCol w:w="6933"/>
      </w:tblGrid>
      <w:tr w:rsidR="00CF4E9C" w:rsidRPr="0064711A" w14:paraId="2D968E37" w14:textId="77777777" w:rsidTr="00F67186">
        <w:trPr>
          <w:cantSplit/>
          <w:tblHeader/>
          <w:jc w:val="center"/>
        </w:trPr>
        <w:tc>
          <w:tcPr>
            <w:tcW w:w="9029" w:type="dxa"/>
            <w:gridSpan w:val="2"/>
            <w:shd w:val="clear" w:color="auto" w:fill="000000" w:themeFill="text1"/>
          </w:tcPr>
          <w:p w14:paraId="65E216EE" w14:textId="77777777" w:rsidR="00CF4E9C" w:rsidRPr="0064711A" w:rsidRDefault="00CF4E9C" w:rsidP="00CF4E9C">
            <w:pPr>
              <w:keepNext/>
              <w:spacing w:before="120" w:after="120"/>
              <w:rPr>
                <w:b/>
                <w:bCs/>
                <w:color w:val="FFFFFF" w:themeColor="background1"/>
              </w:rPr>
            </w:pPr>
            <w:r w:rsidRPr="0064711A">
              <w:rPr>
                <w:b/>
                <w:bCs/>
                <w:color w:val="FFFFFF" w:themeColor="background1"/>
              </w:rPr>
              <w:t>Categories</w:t>
            </w:r>
          </w:p>
        </w:tc>
      </w:tr>
      <w:tr w:rsidR="00CF4E9C" w:rsidRPr="0064711A" w14:paraId="5DC6BF58" w14:textId="77777777" w:rsidTr="00F67186">
        <w:trPr>
          <w:cantSplit/>
          <w:tblHeader/>
          <w:jc w:val="center"/>
        </w:trPr>
        <w:tc>
          <w:tcPr>
            <w:tcW w:w="2341" w:type="dxa"/>
            <w:vAlign w:val="center"/>
          </w:tcPr>
          <w:p w14:paraId="03DAA116" w14:textId="77777777" w:rsidR="00CF4E9C" w:rsidRPr="0064711A" w:rsidRDefault="00D376B3" w:rsidP="00CF4E9C">
            <w:pPr>
              <w:spacing w:before="120" w:after="1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CF4E9C" w:rsidRPr="0064711A">
              <w:rPr>
                <w:b/>
                <w:bCs/>
              </w:rPr>
              <w:t>. Federal</w:t>
            </w:r>
          </w:p>
        </w:tc>
        <w:tc>
          <w:tcPr>
            <w:tcW w:w="6688" w:type="dxa"/>
          </w:tcPr>
          <w:p w14:paraId="756278F2" w14:textId="77777777" w:rsidR="00CF4E9C" w:rsidRPr="0064711A" w:rsidRDefault="00CF4E9C" w:rsidP="006A717F">
            <w:pPr>
              <w:pStyle w:val="ListParagraph"/>
              <w:numPr>
                <w:ilvl w:val="0"/>
                <w:numId w:val="28"/>
              </w:numPr>
              <w:spacing w:after="120"/>
              <w:ind w:left="336"/>
            </w:pPr>
            <w:r w:rsidRPr="0064711A">
              <w:t>A</w:t>
            </w:r>
            <w:r w:rsidR="006343DB">
              <w:t xml:space="preserve"> </w:t>
            </w:r>
            <w:r w:rsidR="006343DB" w:rsidRPr="007D747A">
              <w:t xml:space="preserve">bureau, office, agency, department </w:t>
            </w:r>
            <w:r w:rsidR="006A717F">
              <w:t xml:space="preserve">or other entity </w:t>
            </w:r>
            <w:r w:rsidR="006343DB" w:rsidRPr="007D747A">
              <w:t>o</w:t>
            </w:r>
            <w:r w:rsidR="00D376B3">
              <w:t>f</w:t>
            </w:r>
            <w:r w:rsidR="006343DB" w:rsidRPr="007D747A">
              <w:t xml:space="preserve"> the United States </w:t>
            </w:r>
            <w:r w:rsidR="00D376B3">
              <w:t>g</w:t>
            </w:r>
            <w:r w:rsidR="006343DB" w:rsidRPr="007D747A">
              <w:t>overnment</w:t>
            </w:r>
            <w:r w:rsidR="00D376B3">
              <w:t xml:space="preserve"> (including executive, legislative, and judicial branches)</w:t>
            </w:r>
            <w:r w:rsidR="004153D3">
              <w:t>.</w:t>
            </w:r>
          </w:p>
        </w:tc>
      </w:tr>
      <w:tr w:rsidR="00CF4E9C" w:rsidRPr="0064711A" w14:paraId="5FBC4012" w14:textId="77777777" w:rsidTr="00F67186">
        <w:trPr>
          <w:cantSplit/>
          <w:trHeight w:val="2213"/>
          <w:tblHeader/>
          <w:jc w:val="center"/>
        </w:trPr>
        <w:tc>
          <w:tcPr>
            <w:tcW w:w="2341" w:type="dxa"/>
            <w:vAlign w:val="center"/>
          </w:tcPr>
          <w:p w14:paraId="2CA76E4F" w14:textId="77777777" w:rsidR="00CF4E9C" w:rsidRPr="0064711A" w:rsidRDefault="00D376B3" w:rsidP="006343DB">
            <w:pPr>
              <w:spacing w:before="120" w:after="1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CF4E9C" w:rsidRPr="0064711A">
              <w:rPr>
                <w:b/>
                <w:bCs/>
              </w:rPr>
              <w:t xml:space="preserve">. </w:t>
            </w:r>
            <w:r w:rsidR="006343DB">
              <w:rPr>
                <w:b/>
                <w:bCs/>
              </w:rPr>
              <w:t xml:space="preserve">State and Local </w:t>
            </w:r>
          </w:p>
        </w:tc>
        <w:tc>
          <w:tcPr>
            <w:tcW w:w="6688" w:type="dxa"/>
          </w:tcPr>
          <w:p w14:paraId="2E3F9049" w14:textId="77777777" w:rsidR="006343DB" w:rsidRDefault="004153D3" w:rsidP="00F65F62">
            <w:pPr>
              <w:pStyle w:val="ListParagraph"/>
              <w:numPr>
                <w:ilvl w:val="0"/>
                <w:numId w:val="26"/>
              </w:numPr>
              <w:ind w:left="342" w:hanging="342"/>
            </w:pPr>
            <w:r>
              <w:t>A</w:t>
            </w:r>
            <w:r w:rsidR="006343DB">
              <w:t xml:space="preserve">ny </w:t>
            </w:r>
            <w:r w:rsidR="006A717F">
              <w:t xml:space="preserve">executive, legislative or judicial </w:t>
            </w:r>
            <w:r w:rsidR="006343DB">
              <w:t xml:space="preserve">government agency, </w:t>
            </w:r>
            <w:r w:rsidR="006A717F">
              <w:t xml:space="preserve">bureau, </w:t>
            </w:r>
            <w:r w:rsidR="006343DB">
              <w:t xml:space="preserve">department, office, instrumentality, division, or other entity of </w:t>
            </w:r>
            <w:r w:rsidR="0058291A">
              <w:t xml:space="preserve">a </w:t>
            </w:r>
            <w:r w:rsidR="006343DB">
              <w:t>state or local government</w:t>
            </w:r>
            <w:r w:rsidR="0058291A">
              <w:t>.</w:t>
            </w:r>
            <w:r w:rsidR="006343DB">
              <w:t xml:space="preserve"> </w:t>
            </w:r>
          </w:p>
          <w:p w14:paraId="578F1437" w14:textId="77777777" w:rsidR="006343DB" w:rsidRDefault="004153D3" w:rsidP="00F65F62">
            <w:pPr>
              <w:pStyle w:val="ListParagraph"/>
              <w:numPr>
                <w:ilvl w:val="0"/>
                <w:numId w:val="26"/>
              </w:numPr>
              <w:ind w:left="342" w:hanging="342"/>
            </w:pPr>
            <w:r>
              <w:t>A</w:t>
            </w:r>
            <w:r w:rsidR="006343DB">
              <w:t xml:space="preserve">ny county, borough, commonwealth, city, municipality, town, township, special purpose district, or other similar type of governmental instrumentality established by the laws of </w:t>
            </w:r>
            <w:r>
              <w:t xml:space="preserve">a </w:t>
            </w:r>
            <w:r w:rsidR="006343DB">
              <w:t xml:space="preserve">state and located within </w:t>
            </w:r>
            <w:r>
              <w:t xml:space="preserve">the </w:t>
            </w:r>
            <w:r w:rsidR="006343DB">
              <w:t>state jurisdiction and geographic boundaries</w:t>
            </w:r>
            <w:r w:rsidR="0058291A">
              <w:t>.</w:t>
            </w:r>
            <w:r w:rsidR="006343DB">
              <w:t xml:space="preserve">  </w:t>
            </w:r>
          </w:p>
          <w:p w14:paraId="270757B3" w14:textId="77777777" w:rsidR="00CF4E9C" w:rsidRPr="0064711A" w:rsidRDefault="004153D3" w:rsidP="006A717F">
            <w:pPr>
              <w:pStyle w:val="ListParagraph"/>
              <w:numPr>
                <w:ilvl w:val="0"/>
                <w:numId w:val="26"/>
              </w:numPr>
              <w:ind w:left="342" w:hanging="342"/>
            </w:pPr>
            <w:r>
              <w:t>A</w:t>
            </w:r>
            <w:r w:rsidR="006343DB">
              <w:t xml:space="preserve">ny other entity in </w:t>
            </w:r>
            <w:r w:rsidR="0058291A">
              <w:t xml:space="preserve">a </w:t>
            </w:r>
            <w:r w:rsidR="006343DB">
              <w:t xml:space="preserve">state expressly authorized by the laws of </w:t>
            </w:r>
            <w:r>
              <w:t xml:space="preserve">the </w:t>
            </w:r>
            <w:r w:rsidR="006343DB">
              <w:t>state to purchase under state contracts</w:t>
            </w:r>
            <w:r w:rsidR="00F65F62">
              <w:t>.</w:t>
            </w:r>
          </w:p>
        </w:tc>
      </w:tr>
      <w:tr w:rsidR="00F43505" w:rsidRPr="0064711A" w14:paraId="19F97DDA" w14:textId="77777777" w:rsidTr="00F67186">
        <w:trPr>
          <w:cantSplit/>
          <w:trHeight w:val="1052"/>
          <w:tblHeader/>
          <w:jc w:val="center"/>
        </w:trPr>
        <w:tc>
          <w:tcPr>
            <w:tcW w:w="2341" w:type="dxa"/>
            <w:vAlign w:val="center"/>
          </w:tcPr>
          <w:p w14:paraId="53F2EEC5" w14:textId="77777777" w:rsidR="00F43505" w:rsidRDefault="00F43505" w:rsidP="002928CB">
            <w:pPr>
              <w:spacing w:after="1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C. </w:t>
            </w:r>
            <w:r w:rsidR="1FB02586">
              <w:rPr>
                <w:b/>
                <w:bCs/>
              </w:rPr>
              <w:t>Tri</w:t>
            </w:r>
            <w:r w:rsidR="52309091">
              <w:rPr>
                <w:b/>
                <w:bCs/>
              </w:rPr>
              <w:t>b</w:t>
            </w:r>
            <w:r w:rsidR="1FB02586">
              <w:rPr>
                <w:b/>
                <w:bCs/>
              </w:rPr>
              <w:t>al Entity</w:t>
            </w:r>
          </w:p>
        </w:tc>
        <w:tc>
          <w:tcPr>
            <w:tcW w:w="6688" w:type="dxa"/>
          </w:tcPr>
          <w:p w14:paraId="29BEDB8D" w14:textId="77777777" w:rsidR="00F43505" w:rsidRDefault="00D4053A" w:rsidP="006A717F">
            <w:pPr>
              <w:pStyle w:val="ListParagraph"/>
              <w:numPr>
                <w:ilvl w:val="0"/>
                <w:numId w:val="26"/>
              </w:numPr>
              <w:ind w:left="342" w:hanging="342"/>
            </w:pPr>
            <w:r>
              <w:t>A federally</w:t>
            </w:r>
            <w:r w:rsidR="006A717F">
              <w:t>-</w:t>
            </w:r>
            <w:r>
              <w:t>recognized tribal entity</w:t>
            </w:r>
            <w:r w:rsidR="006A717F">
              <w:t xml:space="preserve"> performing governmental functions</w:t>
            </w:r>
            <w:r>
              <w:t xml:space="preserve"> eligible for funding and services from the U.S. Department of Interior by virtue of its status as an Indian tribe, or, in Alaska, a Native village or Alaska Regional Native Corporation.</w:t>
            </w:r>
          </w:p>
        </w:tc>
      </w:tr>
    </w:tbl>
    <w:p w14:paraId="135DCE91" w14:textId="77777777" w:rsidR="00F65F62" w:rsidRDefault="00F65F62" w:rsidP="00F65F62">
      <w:r>
        <w:t xml:space="preserve">If an organization fits into one of the categories above </w:t>
      </w:r>
      <w:r w:rsidR="007073C6">
        <w:t>but</w:t>
      </w:r>
      <w:r>
        <w:t xml:space="preserve"> operates for profit, the following criteria applie</w:t>
      </w:r>
      <w:r w:rsidR="007073C6">
        <w:t>s</w:t>
      </w:r>
      <w:r>
        <w:t xml:space="preserve"> to determine whether </w:t>
      </w:r>
      <w:r w:rsidR="007073C6">
        <w:t>the</w:t>
      </w:r>
      <w:r>
        <w:t xml:space="preserve"> organization </w:t>
      </w:r>
      <w:r w:rsidR="007073C6">
        <w:t>is</w:t>
      </w:r>
      <w:r>
        <w:t xml:space="preserve"> an eligible entity:</w:t>
      </w:r>
    </w:p>
    <w:p w14:paraId="10CA5743" w14:textId="77777777" w:rsidR="00F65F62" w:rsidRDefault="00F65F62" w:rsidP="00F65F62">
      <w:pPr>
        <w:pStyle w:val="ListParagraph"/>
        <w:numPr>
          <w:ilvl w:val="0"/>
          <w:numId w:val="27"/>
        </w:numPr>
        <w:ind w:left="1080"/>
        <w:contextualSpacing w:val="0"/>
      </w:pPr>
      <w:r>
        <w:t>Do the revenues/profits go solely to the government (or do they also go to private shareholders)?</w:t>
      </w:r>
    </w:p>
    <w:p w14:paraId="3D825CDD" w14:textId="77777777" w:rsidR="00F65F62" w:rsidRDefault="00F65F62" w:rsidP="00F65F62">
      <w:pPr>
        <w:pStyle w:val="ListParagraph"/>
        <w:numPr>
          <w:ilvl w:val="0"/>
          <w:numId w:val="27"/>
        </w:numPr>
        <w:ind w:left="1080"/>
        <w:contextualSpacing w:val="0"/>
      </w:pPr>
      <w:r>
        <w:t>Is the organization in question exempt from corporation tax?</w:t>
      </w:r>
    </w:p>
    <w:p w14:paraId="4D31549D" w14:textId="77777777" w:rsidR="00F65F62" w:rsidRDefault="00F65F62" w:rsidP="00F65F62">
      <w:pPr>
        <w:pStyle w:val="ListParagraph"/>
        <w:numPr>
          <w:ilvl w:val="0"/>
          <w:numId w:val="27"/>
        </w:numPr>
        <w:ind w:left="1080"/>
        <w:contextualSpacing w:val="0"/>
      </w:pPr>
      <w:r>
        <w:t>Is the organization financed more than 50% by the government (i.e., does it derive less than 50% of its funding from commercial activities)?</w:t>
      </w:r>
    </w:p>
    <w:p w14:paraId="7887EC10" w14:textId="77777777" w:rsidR="00F65F62" w:rsidRDefault="00F65F62" w:rsidP="00F65F62">
      <w:r>
        <w:t xml:space="preserve">If the answer to all of these questions is “yes,” then the organization </w:t>
      </w:r>
      <w:r w:rsidR="0058291A">
        <w:t>is</w:t>
      </w:r>
      <w:r>
        <w:t xml:space="preserve"> an eligible entity. If the answer to any of the questions above is “no,” then the organization </w:t>
      </w:r>
      <w:r w:rsidR="0058291A">
        <w:t>is not</w:t>
      </w:r>
      <w:r>
        <w:t xml:space="preserve"> an eligible entity. Generally, government</w:t>
      </w:r>
      <w:r w:rsidR="007073C6">
        <w:t>-</w:t>
      </w:r>
      <w:r>
        <w:t>owned corporations, state-owned enterprises and government</w:t>
      </w:r>
      <w:r w:rsidR="007073C6">
        <w:t>-</w:t>
      </w:r>
      <w:r>
        <w:t xml:space="preserve">owned organizations (whether incorporated </w:t>
      </w:r>
      <w:proofErr w:type="gramStart"/>
      <w:r>
        <w:t>or</w:t>
      </w:r>
      <w:proofErr w:type="gramEnd"/>
      <w:r>
        <w:t xml:space="preserve"> not) undertaking commercial activities (</w:t>
      </w:r>
      <w:r w:rsidRPr="00CC5F41">
        <w:rPr>
          <w:i/>
        </w:rPr>
        <w:t>e.g.</w:t>
      </w:r>
      <w:r>
        <w:t>, telecommunications, banking, transportation</w:t>
      </w:r>
      <w:r w:rsidR="007073C6">
        <w:t>,</w:t>
      </w:r>
      <w:r>
        <w:t xml:space="preserve"> etc.) do not qualify as eligible entit</w:t>
      </w:r>
      <w:r w:rsidR="007073C6">
        <w:t>ies</w:t>
      </w:r>
      <w:r>
        <w:t xml:space="preserve">. </w:t>
      </w:r>
    </w:p>
    <w:p w14:paraId="11782AA2" w14:textId="77777777" w:rsidR="006A717F" w:rsidRDefault="00317736" w:rsidP="006A717F">
      <w:r w:rsidRPr="00883E16">
        <w:t xml:space="preserve">If an organization loses its status as an eligible entity </w:t>
      </w:r>
      <w:r w:rsidR="00F4483A">
        <w:t>after</w:t>
      </w:r>
      <w:r w:rsidRPr="00883E16">
        <w:t xml:space="preserve"> </w:t>
      </w:r>
      <w:r w:rsidR="00F4483A">
        <w:t>entering into</w:t>
      </w:r>
      <w:r w:rsidRPr="00883E16">
        <w:t xml:space="preserve"> a </w:t>
      </w:r>
      <w:r w:rsidR="00F4483A">
        <w:t xml:space="preserve">volume </w:t>
      </w:r>
      <w:r w:rsidRPr="00883E16">
        <w:t>licensing agreement</w:t>
      </w:r>
      <w:r w:rsidR="00F4483A">
        <w:t xml:space="preserve"> with Microsoft that requires it to be an eligible entity</w:t>
      </w:r>
      <w:r w:rsidRPr="00883E16">
        <w:t xml:space="preserve">, the organization may continue to use </w:t>
      </w:r>
      <w:r w:rsidR="00F4483A">
        <w:t>the products and services</w:t>
      </w:r>
      <w:r w:rsidRPr="00883E16">
        <w:t xml:space="preserve"> for which </w:t>
      </w:r>
      <w:r w:rsidR="00F4483A">
        <w:t>it</w:t>
      </w:r>
      <w:r w:rsidRPr="00883E16">
        <w:t xml:space="preserve"> is licensed</w:t>
      </w:r>
      <w:r w:rsidR="00F4483A">
        <w:t xml:space="preserve"> under its agreement with Microsoft</w:t>
      </w:r>
      <w:r w:rsidRPr="00883E16">
        <w:t xml:space="preserve">, but </w:t>
      </w:r>
      <w:r w:rsidR="00F4483A">
        <w:t>it</w:t>
      </w:r>
      <w:r w:rsidRPr="00883E16">
        <w:t xml:space="preserve"> may not submit a new order for </w:t>
      </w:r>
      <w:r w:rsidR="00F4483A">
        <w:t>products or services</w:t>
      </w:r>
      <w:r w:rsidRPr="00883E16">
        <w:t xml:space="preserve"> under </w:t>
      </w:r>
      <w:r w:rsidR="00F4483A">
        <w:t>such agreement</w:t>
      </w:r>
      <w:r w:rsidR="006A717F">
        <w:t>.</w:t>
      </w:r>
      <w:bookmarkStart w:id="1" w:name="OLE_LINK1"/>
      <w:bookmarkStart w:id="2" w:name="OLE_LINK2"/>
    </w:p>
    <w:p w14:paraId="4A085667" w14:textId="77777777" w:rsidR="006F214E" w:rsidRPr="0064711A" w:rsidRDefault="00317736" w:rsidP="006A717F">
      <w:pPr>
        <w:rPr>
          <w:b/>
          <w:bCs/>
        </w:rPr>
      </w:pPr>
      <w:r>
        <w:t>Microsoft offers government pricing to eligible public sector organizations (as defined and described above).  Subject to such additional eligibility requirements as may be set forth in a particular volume licensing agreement, eligible organizations qualify to receive (1) price level D under the Enterprise, Enterprise Subscription, Select, or Select Plus volume licensing programs or (2) other discounts that may be available under other Microsoft volume licensing programs.</w:t>
      </w:r>
      <w:bookmarkEnd w:id="1"/>
      <w:bookmarkEnd w:id="2"/>
    </w:p>
    <w:sectPr w:rsidR="006F214E" w:rsidRPr="0064711A" w:rsidSect="00F6718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E27F4" w14:textId="77777777" w:rsidR="00E66B31" w:rsidRDefault="00E66B31" w:rsidP="00CF4E9C">
      <w:pPr>
        <w:spacing w:before="0"/>
      </w:pPr>
      <w:r>
        <w:separator/>
      </w:r>
    </w:p>
  </w:endnote>
  <w:endnote w:type="continuationSeparator" w:id="0">
    <w:p w14:paraId="3BA00A48" w14:textId="77777777" w:rsidR="00E66B31" w:rsidRDefault="00E66B31" w:rsidP="00CF4E9C">
      <w:pPr>
        <w:spacing w:before="0"/>
      </w:pPr>
      <w:r>
        <w:continuationSeparator/>
      </w:r>
    </w:p>
  </w:endnote>
  <w:endnote w:type="continuationNotice" w:id="1">
    <w:p w14:paraId="5F92A103" w14:textId="77777777" w:rsidR="00E66B31" w:rsidRDefault="00E66B3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02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3"/>
      <w:gridCol w:w="4476"/>
    </w:tblGrid>
    <w:tr w:rsidR="00AF1308" w:rsidRPr="00CF4E9C" w14:paraId="03C697B8" w14:textId="77777777" w:rsidTr="00CF4E9C">
      <w:trPr>
        <w:jc w:val="center"/>
      </w:trPr>
      <w:tc>
        <w:tcPr>
          <w:tcW w:w="4621" w:type="dxa"/>
        </w:tcPr>
        <w:p w14:paraId="07F43F8B" w14:textId="77777777" w:rsidR="00AF1308" w:rsidRPr="00CF4E9C" w:rsidRDefault="00AF1308">
          <w:pPr>
            <w:pStyle w:val="Footer"/>
            <w:rPr>
              <w:sz w:val="16"/>
              <w:szCs w:val="16"/>
            </w:rPr>
          </w:pPr>
          <w:proofErr w:type="spellStart"/>
          <w:r w:rsidRPr="00CF4E9C">
            <w:rPr>
              <w:sz w:val="16"/>
              <w:szCs w:val="16"/>
            </w:rPr>
            <w:t>GovEligibilityDef</w:t>
          </w:r>
          <w:proofErr w:type="spellEnd"/>
          <w:r w:rsidRPr="00CF4E9C">
            <w:rPr>
              <w:sz w:val="16"/>
              <w:szCs w:val="16"/>
            </w:rPr>
            <w:t>(NA)CAN(Oct2012)</w:t>
          </w:r>
        </w:p>
      </w:tc>
      <w:tc>
        <w:tcPr>
          <w:tcW w:w="4622" w:type="dxa"/>
        </w:tcPr>
        <w:p w14:paraId="4036722A" w14:textId="77777777" w:rsidR="00AF1308" w:rsidRPr="00CF4E9C" w:rsidRDefault="00AF1308" w:rsidP="00CF4E9C">
          <w:pPr>
            <w:pStyle w:val="Footer"/>
            <w:jc w:val="right"/>
            <w:rPr>
              <w:sz w:val="16"/>
              <w:szCs w:val="16"/>
            </w:rPr>
          </w:pPr>
          <w:r w:rsidRPr="00CF4E9C">
            <w:rPr>
              <w:sz w:val="16"/>
              <w:szCs w:val="16"/>
            </w:rPr>
            <w:t xml:space="preserve">Page </w:t>
          </w:r>
          <w:r w:rsidRPr="00CF4E9C">
            <w:rPr>
              <w:sz w:val="16"/>
              <w:szCs w:val="16"/>
            </w:rPr>
            <w:fldChar w:fldCharType="begin"/>
          </w:r>
          <w:r w:rsidRPr="00CF4E9C">
            <w:rPr>
              <w:sz w:val="16"/>
              <w:szCs w:val="16"/>
            </w:rPr>
            <w:instrText xml:space="preserve"> PAGE  \* Arabic  \* MERGEFORMAT </w:instrText>
          </w:r>
          <w:r w:rsidRPr="00CF4E9C">
            <w:rPr>
              <w:sz w:val="16"/>
              <w:szCs w:val="16"/>
            </w:rPr>
            <w:fldChar w:fldCharType="separate"/>
          </w:r>
          <w:r w:rsidR="006A717F">
            <w:rPr>
              <w:noProof/>
              <w:sz w:val="16"/>
              <w:szCs w:val="16"/>
            </w:rPr>
            <w:t>2</w:t>
          </w:r>
          <w:r w:rsidRPr="00CF4E9C">
            <w:rPr>
              <w:sz w:val="16"/>
              <w:szCs w:val="16"/>
            </w:rPr>
            <w:fldChar w:fldCharType="end"/>
          </w:r>
          <w:r w:rsidRPr="00CF4E9C">
            <w:rPr>
              <w:sz w:val="16"/>
              <w:szCs w:val="16"/>
            </w:rPr>
            <w:t xml:space="preserve"> of </w:t>
          </w:r>
          <w:r w:rsidR="00E66B31">
            <w:fldChar w:fldCharType="begin"/>
          </w:r>
          <w:r w:rsidR="00E66B31">
            <w:instrText xml:space="preserve"> NUMPAGES  \* Arabic  \* MERGEFORMAT </w:instrText>
          </w:r>
          <w:r w:rsidR="00E66B31">
            <w:fldChar w:fldCharType="separate"/>
          </w:r>
          <w:r w:rsidR="006A717F">
            <w:rPr>
              <w:noProof/>
            </w:rPr>
            <w:t>2</w:t>
          </w:r>
          <w:r w:rsidR="00E66B31">
            <w:rPr>
              <w:noProof/>
            </w:rPr>
            <w:fldChar w:fldCharType="end"/>
          </w:r>
        </w:p>
      </w:tc>
    </w:tr>
  </w:tbl>
  <w:p w14:paraId="74B714E1" w14:textId="77777777" w:rsidR="00AF1308" w:rsidRPr="00CF4E9C" w:rsidRDefault="00AF1308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3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9"/>
      <w:gridCol w:w="4681"/>
    </w:tblGrid>
    <w:tr w:rsidR="00AF1308" w:rsidRPr="00CF4E9C" w14:paraId="0F1415FA" w14:textId="77777777" w:rsidTr="00F67186">
      <w:trPr>
        <w:jc w:val="center"/>
      </w:trPr>
      <w:tc>
        <w:tcPr>
          <w:tcW w:w="4621" w:type="dxa"/>
        </w:tcPr>
        <w:p w14:paraId="6CCAA372" w14:textId="00AF908A" w:rsidR="00AF1308" w:rsidRPr="00F67186" w:rsidRDefault="00AF1308" w:rsidP="00F67186">
          <w:pPr>
            <w:pStyle w:val="Footer"/>
            <w:rPr>
              <w:sz w:val="16"/>
              <w:szCs w:val="16"/>
            </w:rPr>
          </w:pPr>
          <w:proofErr w:type="spellStart"/>
          <w:r w:rsidRPr="00F67186">
            <w:rPr>
              <w:sz w:val="16"/>
              <w:szCs w:val="16"/>
            </w:rPr>
            <w:t>GovEligibilityDef</w:t>
          </w:r>
          <w:proofErr w:type="spellEnd"/>
          <w:r w:rsidRPr="00F67186">
            <w:rPr>
              <w:sz w:val="16"/>
              <w:szCs w:val="16"/>
            </w:rPr>
            <w:t>(NA)</w:t>
          </w:r>
          <w:r w:rsidR="00F67186">
            <w:rPr>
              <w:sz w:val="16"/>
              <w:szCs w:val="16"/>
            </w:rPr>
            <w:t>US(ENG)(Mar2015</w:t>
          </w:r>
          <w:r w:rsidRPr="00F67186">
            <w:rPr>
              <w:sz w:val="16"/>
              <w:szCs w:val="16"/>
            </w:rPr>
            <w:t>)</w:t>
          </w:r>
        </w:p>
      </w:tc>
      <w:tc>
        <w:tcPr>
          <w:tcW w:w="4622" w:type="dxa"/>
        </w:tcPr>
        <w:p w14:paraId="34ED4F9D" w14:textId="77777777" w:rsidR="00AF1308" w:rsidRPr="00CF4E9C" w:rsidRDefault="00AF1308" w:rsidP="00997BA6">
          <w:pPr>
            <w:pStyle w:val="Footer"/>
            <w:jc w:val="right"/>
            <w:rPr>
              <w:sz w:val="16"/>
              <w:szCs w:val="16"/>
            </w:rPr>
          </w:pPr>
          <w:r w:rsidRPr="00CF4E9C">
            <w:rPr>
              <w:sz w:val="16"/>
              <w:szCs w:val="16"/>
            </w:rPr>
            <w:t xml:space="preserve">Page </w:t>
          </w:r>
          <w:r w:rsidRPr="00CF4E9C">
            <w:rPr>
              <w:sz w:val="16"/>
              <w:szCs w:val="16"/>
            </w:rPr>
            <w:fldChar w:fldCharType="begin"/>
          </w:r>
          <w:r w:rsidRPr="00CF4E9C">
            <w:rPr>
              <w:sz w:val="16"/>
              <w:szCs w:val="16"/>
            </w:rPr>
            <w:instrText xml:space="preserve"> PAGE  \* Arabic  \* MERGEFORMAT </w:instrText>
          </w:r>
          <w:r w:rsidRPr="00CF4E9C">
            <w:rPr>
              <w:sz w:val="16"/>
              <w:szCs w:val="16"/>
            </w:rPr>
            <w:fldChar w:fldCharType="separate"/>
          </w:r>
          <w:r w:rsidR="00823BBF">
            <w:rPr>
              <w:noProof/>
              <w:sz w:val="16"/>
              <w:szCs w:val="16"/>
            </w:rPr>
            <w:t>1</w:t>
          </w:r>
          <w:r w:rsidRPr="00CF4E9C">
            <w:rPr>
              <w:sz w:val="16"/>
              <w:szCs w:val="16"/>
            </w:rPr>
            <w:fldChar w:fldCharType="end"/>
          </w:r>
          <w:r w:rsidRPr="00CF4E9C">
            <w:rPr>
              <w:sz w:val="16"/>
              <w:szCs w:val="16"/>
            </w:rPr>
            <w:t xml:space="preserve"> of </w:t>
          </w:r>
          <w:r w:rsidR="00E66B31">
            <w:fldChar w:fldCharType="begin"/>
          </w:r>
          <w:r w:rsidR="00E66B31">
            <w:instrText xml:space="preserve"> NUMPAGES  \* Arabic  \* MERGEFORMAT </w:instrText>
          </w:r>
          <w:r w:rsidR="00E66B31">
            <w:fldChar w:fldCharType="separate"/>
          </w:r>
          <w:r w:rsidR="00823BBF">
            <w:rPr>
              <w:noProof/>
            </w:rPr>
            <w:t>1</w:t>
          </w:r>
          <w:r w:rsidR="00E66B31">
            <w:rPr>
              <w:noProof/>
            </w:rPr>
            <w:fldChar w:fldCharType="end"/>
          </w:r>
        </w:p>
      </w:tc>
    </w:tr>
  </w:tbl>
  <w:p w14:paraId="109BC66E" w14:textId="77777777" w:rsidR="00AF1308" w:rsidRPr="00E17EAA" w:rsidRDefault="00AF130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7ECD3" w14:textId="77777777" w:rsidR="00E66B31" w:rsidRDefault="00E66B31" w:rsidP="00CF4E9C">
      <w:pPr>
        <w:spacing w:before="0"/>
      </w:pPr>
      <w:r>
        <w:separator/>
      </w:r>
    </w:p>
  </w:footnote>
  <w:footnote w:type="continuationSeparator" w:id="0">
    <w:p w14:paraId="7C4DC332" w14:textId="77777777" w:rsidR="00E66B31" w:rsidRDefault="00E66B31" w:rsidP="00CF4E9C">
      <w:pPr>
        <w:spacing w:before="0"/>
      </w:pPr>
      <w:r>
        <w:continuationSeparator/>
      </w:r>
    </w:p>
  </w:footnote>
  <w:footnote w:type="continuationNotice" w:id="1">
    <w:p w14:paraId="7C06604D" w14:textId="77777777" w:rsidR="00E66B31" w:rsidRDefault="00E66B31">
      <w:pPr>
        <w:spacing w:before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9E0C8" w14:textId="34A516AC" w:rsidR="00AF1308" w:rsidRDefault="00E66B31">
    <w:pPr>
      <w:pStyle w:val="Header"/>
    </w:pPr>
    <w:r>
      <w:rPr>
        <w:noProof/>
      </w:rPr>
      <w:pict w14:anchorId="3C639F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157782" o:spid="_x0000_s2053" type="#_x0000_t75" style="position:absolute;left:0;text-align:left;margin-left:0;margin-top:0;width:467.75pt;height:263.7pt;z-index:-251657216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81FAF" w14:textId="54E30624" w:rsidR="00AF1308" w:rsidRDefault="00E66B31">
    <w:pPr>
      <w:pStyle w:val="Header"/>
    </w:pPr>
    <w:r>
      <w:rPr>
        <w:noProof/>
      </w:rPr>
      <w:pict w14:anchorId="246F83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157783" o:spid="_x0000_s2054" type="#_x0000_t75" style="position:absolute;left:0;text-align:left;margin-left:0;margin-top:0;width:467.75pt;height:263.7pt;z-index:-25165619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C9669" w14:textId="23A60704" w:rsidR="00AF1308" w:rsidRDefault="00E66B31" w:rsidP="00E17EAA">
    <w:pPr>
      <w:pStyle w:val="Header"/>
      <w:jc w:val="right"/>
    </w:pPr>
    <w:r>
      <w:rPr>
        <w:noProof/>
      </w:rPr>
      <w:pict w14:anchorId="3367EA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157781" o:spid="_x0000_s2052" type="#_x0000_t75" style="position:absolute;left:0;text-align:left;margin-left:0;margin-top:0;width:467.75pt;height:263.7pt;z-index:-251658240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  <w:r w:rsidR="00F67186">
      <w:rPr>
        <w:noProof/>
      </w:rPr>
      <w:drawing>
        <wp:inline distT="0" distB="0" distL="0" distR="0" wp14:anchorId="6D09540C" wp14:editId="19EA4566">
          <wp:extent cx="5724525" cy="561975"/>
          <wp:effectExtent l="0" t="0" r="0" b="9525"/>
          <wp:docPr id="1" name="Picture 1" descr="C:\Users\v-zamorr\Desktop\new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-zamorr\Desktop\new 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53E7C"/>
    <w:multiLevelType w:val="hybridMultilevel"/>
    <w:tmpl w:val="B22E41D8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>
    <w:nsid w:val="02D00D01"/>
    <w:multiLevelType w:val="hybridMultilevel"/>
    <w:tmpl w:val="1A6854BC"/>
    <w:lvl w:ilvl="0" w:tplc="382C68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136F6"/>
    <w:multiLevelType w:val="hybridMultilevel"/>
    <w:tmpl w:val="1A6854BC"/>
    <w:lvl w:ilvl="0" w:tplc="382C68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12C45"/>
    <w:multiLevelType w:val="hybridMultilevel"/>
    <w:tmpl w:val="1C9C1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C03D8"/>
    <w:multiLevelType w:val="hybridMultilevel"/>
    <w:tmpl w:val="E2D803AC"/>
    <w:lvl w:ilvl="0" w:tplc="28A486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9082D"/>
    <w:multiLevelType w:val="hybridMultilevel"/>
    <w:tmpl w:val="91420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54390"/>
    <w:multiLevelType w:val="hybridMultilevel"/>
    <w:tmpl w:val="7BF299D6"/>
    <w:lvl w:ilvl="0" w:tplc="382C68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7552D"/>
    <w:multiLevelType w:val="hybridMultilevel"/>
    <w:tmpl w:val="AD70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A56B6"/>
    <w:multiLevelType w:val="hybridMultilevel"/>
    <w:tmpl w:val="4E6E5CF0"/>
    <w:lvl w:ilvl="0" w:tplc="D2E061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B6D05"/>
    <w:multiLevelType w:val="hybridMultilevel"/>
    <w:tmpl w:val="FC2E0CBE"/>
    <w:lvl w:ilvl="0" w:tplc="1124D4FA">
      <w:start w:val="1"/>
      <w:numFmt w:val="decimal"/>
      <w:lvlText w:val="%1."/>
      <w:lvlJc w:val="left"/>
      <w:pPr>
        <w:ind w:left="720" w:hanging="360"/>
      </w:pPr>
      <w:rPr>
        <w:b/>
        <w:bCs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941251"/>
    <w:multiLevelType w:val="hybridMultilevel"/>
    <w:tmpl w:val="DBA03C4C"/>
    <w:lvl w:ilvl="0" w:tplc="BFE2E13A">
      <w:start w:val="1"/>
      <w:numFmt w:val="lowerLetter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9998E7A4">
      <w:start w:val="1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6B5DCA"/>
    <w:multiLevelType w:val="hybridMultilevel"/>
    <w:tmpl w:val="97562536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2">
    <w:nsid w:val="438D43AF"/>
    <w:multiLevelType w:val="hybridMultilevel"/>
    <w:tmpl w:val="C2EA0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D81737"/>
    <w:multiLevelType w:val="hybridMultilevel"/>
    <w:tmpl w:val="AAAE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FA30E9"/>
    <w:multiLevelType w:val="hybridMultilevel"/>
    <w:tmpl w:val="48A20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F704CF"/>
    <w:multiLevelType w:val="hybridMultilevel"/>
    <w:tmpl w:val="3444A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53252E"/>
    <w:multiLevelType w:val="hybridMultilevel"/>
    <w:tmpl w:val="140C5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ED2466"/>
    <w:multiLevelType w:val="hybridMultilevel"/>
    <w:tmpl w:val="B7407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4234CF"/>
    <w:multiLevelType w:val="hybridMultilevel"/>
    <w:tmpl w:val="5166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44224"/>
    <w:multiLevelType w:val="hybridMultilevel"/>
    <w:tmpl w:val="5350A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9E697A"/>
    <w:multiLevelType w:val="hybridMultilevel"/>
    <w:tmpl w:val="82903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9E36F9"/>
    <w:multiLevelType w:val="hybridMultilevel"/>
    <w:tmpl w:val="774E5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2D67C3"/>
    <w:multiLevelType w:val="hybridMultilevel"/>
    <w:tmpl w:val="F0B84D1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B8A3B9E"/>
    <w:multiLevelType w:val="hybridMultilevel"/>
    <w:tmpl w:val="B0A41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4E0767"/>
    <w:multiLevelType w:val="hybridMultilevel"/>
    <w:tmpl w:val="1A6854BC"/>
    <w:lvl w:ilvl="0" w:tplc="382C68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071763"/>
    <w:multiLevelType w:val="hybridMultilevel"/>
    <w:tmpl w:val="C6D68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360DCE"/>
    <w:multiLevelType w:val="hybridMultilevel"/>
    <w:tmpl w:val="7DB4F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10"/>
  </w:num>
  <w:num w:numId="6">
    <w:abstractNumId w:val="9"/>
  </w:num>
  <w:num w:numId="7">
    <w:abstractNumId w:val="4"/>
  </w:num>
  <w:num w:numId="8">
    <w:abstractNumId w:val="16"/>
  </w:num>
  <w:num w:numId="9">
    <w:abstractNumId w:val="12"/>
  </w:num>
  <w:num w:numId="10">
    <w:abstractNumId w:val="0"/>
  </w:num>
  <w:num w:numId="11">
    <w:abstractNumId w:val="5"/>
  </w:num>
  <w:num w:numId="12">
    <w:abstractNumId w:val="13"/>
  </w:num>
  <w:num w:numId="13">
    <w:abstractNumId w:val="7"/>
  </w:num>
  <w:num w:numId="14">
    <w:abstractNumId w:val="11"/>
  </w:num>
  <w:num w:numId="15">
    <w:abstractNumId w:val="15"/>
  </w:num>
  <w:num w:numId="16">
    <w:abstractNumId w:val="3"/>
  </w:num>
  <w:num w:numId="17">
    <w:abstractNumId w:val="25"/>
  </w:num>
  <w:num w:numId="18">
    <w:abstractNumId w:val="17"/>
  </w:num>
  <w:num w:numId="19">
    <w:abstractNumId w:val="21"/>
  </w:num>
  <w:num w:numId="20">
    <w:abstractNumId w:val="23"/>
  </w:num>
  <w:num w:numId="21">
    <w:abstractNumId w:val="26"/>
  </w:num>
  <w:num w:numId="22">
    <w:abstractNumId w:val="18"/>
  </w:num>
  <w:num w:numId="23">
    <w:abstractNumId w:val="20"/>
  </w:num>
  <w:num w:numId="24">
    <w:abstractNumId w:val="24"/>
  </w:num>
  <w:num w:numId="25">
    <w:abstractNumId w:val="22"/>
  </w:num>
  <w:num w:numId="26">
    <w:abstractNumId w:val="19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L7Jlbb4b6eonyUO20n76A3la3B2jXQBEFG1ESm3AyjwS5j0yOdzFhrCfBbVzfk30W1eMshaRsD4nX01CtmySQ==" w:salt="MaSQn/Z6Qopjp8HPYI75Iw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9C"/>
    <w:rsid w:val="000829B7"/>
    <w:rsid w:val="00091E5F"/>
    <w:rsid w:val="000E2821"/>
    <w:rsid w:val="000F3B9B"/>
    <w:rsid w:val="00192F29"/>
    <w:rsid w:val="001A4EAB"/>
    <w:rsid w:val="00203879"/>
    <w:rsid w:val="0023103E"/>
    <w:rsid w:val="00254540"/>
    <w:rsid w:val="002928CB"/>
    <w:rsid w:val="002B1126"/>
    <w:rsid w:val="002C7665"/>
    <w:rsid w:val="002F2434"/>
    <w:rsid w:val="00317736"/>
    <w:rsid w:val="00380578"/>
    <w:rsid w:val="003B6DC6"/>
    <w:rsid w:val="004153D3"/>
    <w:rsid w:val="00477413"/>
    <w:rsid w:val="0048273A"/>
    <w:rsid w:val="00493CEC"/>
    <w:rsid w:val="0058291A"/>
    <w:rsid w:val="005D37CF"/>
    <w:rsid w:val="005D760D"/>
    <w:rsid w:val="006343DB"/>
    <w:rsid w:val="0064711A"/>
    <w:rsid w:val="006A717F"/>
    <w:rsid w:val="006F214E"/>
    <w:rsid w:val="007073C6"/>
    <w:rsid w:val="007308CB"/>
    <w:rsid w:val="007E1AD7"/>
    <w:rsid w:val="00814D01"/>
    <w:rsid w:val="00823BBF"/>
    <w:rsid w:val="00845DF2"/>
    <w:rsid w:val="0084628C"/>
    <w:rsid w:val="00957A78"/>
    <w:rsid w:val="00974611"/>
    <w:rsid w:val="00997BA6"/>
    <w:rsid w:val="009B1C45"/>
    <w:rsid w:val="009B4A1E"/>
    <w:rsid w:val="00A54144"/>
    <w:rsid w:val="00AA2506"/>
    <w:rsid w:val="00AA5A57"/>
    <w:rsid w:val="00AC6292"/>
    <w:rsid w:val="00AF1308"/>
    <w:rsid w:val="00B870D0"/>
    <w:rsid w:val="00BF7180"/>
    <w:rsid w:val="00C1723D"/>
    <w:rsid w:val="00C71871"/>
    <w:rsid w:val="00CC305F"/>
    <w:rsid w:val="00CC5F41"/>
    <w:rsid w:val="00CF4E9C"/>
    <w:rsid w:val="00D10047"/>
    <w:rsid w:val="00D376B3"/>
    <w:rsid w:val="00D4053A"/>
    <w:rsid w:val="00E02027"/>
    <w:rsid w:val="00E039E5"/>
    <w:rsid w:val="00E17EAA"/>
    <w:rsid w:val="00E66B31"/>
    <w:rsid w:val="00E932E4"/>
    <w:rsid w:val="00EC3694"/>
    <w:rsid w:val="00F24527"/>
    <w:rsid w:val="00F43505"/>
    <w:rsid w:val="00F4483A"/>
    <w:rsid w:val="00F65F62"/>
    <w:rsid w:val="00F67186"/>
    <w:rsid w:val="00F90738"/>
    <w:rsid w:val="00F9234D"/>
    <w:rsid w:val="00FA3838"/>
    <w:rsid w:val="00FB294F"/>
    <w:rsid w:val="1FB02586"/>
    <w:rsid w:val="52309091"/>
    <w:rsid w:val="7512C7BE"/>
    <w:rsid w:val="7CDA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301AE690"/>
  <w15:docId w15:val="{04ED589D-3DFD-48F9-981C-A7596529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E9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F4E9C"/>
  </w:style>
  <w:style w:type="paragraph" w:styleId="Footer">
    <w:name w:val="footer"/>
    <w:basedOn w:val="Normal"/>
    <w:link w:val="FooterChar"/>
    <w:uiPriority w:val="99"/>
    <w:unhideWhenUsed/>
    <w:rsid w:val="00CF4E9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CF4E9C"/>
  </w:style>
  <w:style w:type="table" w:styleId="TableGrid">
    <w:name w:val="Table Grid"/>
    <w:basedOn w:val="TableNormal"/>
    <w:uiPriority w:val="59"/>
    <w:rsid w:val="00CF4E9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4E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EA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E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B1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12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1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126"/>
    <w:rPr>
      <w:b/>
      <w:bCs/>
    </w:rPr>
  </w:style>
  <w:style w:type="paragraph" w:styleId="Revision">
    <w:name w:val="Revision"/>
    <w:hidden/>
    <w:uiPriority w:val="99"/>
    <w:semiHidden/>
    <w:rsid w:val="002B1126"/>
    <w:pPr>
      <w:spacing w:before="0"/>
      <w:jc w:val="left"/>
    </w:pPr>
  </w:style>
  <w:style w:type="paragraph" w:styleId="NormalWeb">
    <w:name w:val="Normal (Web)"/>
    <w:basedOn w:val="Normal"/>
    <w:uiPriority w:val="99"/>
    <w:semiHidden/>
    <w:unhideWhenUsed/>
    <w:rsid w:val="002928CB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41C0945947D418CDB5E137CBFFB0B" ma:contentTypeVersion="1" ma:contentTypeDescription="Create a new document." ma:contentTypeScope="" ma:versionID="cc741ac86fe82eaf306ba1105e8a60ed">
  <xsd:schema xmlns:xsd="http://www.w3.org/2001/XMLSchema" xmlns:xs="http://www.w3.org/2001/XMLSchema" xmlns:p="http://schemas.microsoft.com/office/2006/metadata/properties" xmlns:ns3="90f0f25a-b2c8-472a-973d-e696c9fb97be" targetNamespace="http://schemas.microsoft.com/office/2006/metadata/properties" ma:root="true" ma:fieldsID="3d251dc6d5c2bf19092903e66780da9a" ns3:_="">
    <xsd:import namespace="90f0f25a-b2c8-472a-973d-e696c9fb97be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0f25a-b2c8-472a-973d-e696c9fb97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16B83B-EBBD-469A-ADA1-BA8B76AEA1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2768FF-E4F0-4EB2-AFE0-E10521E886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A21AFE-16D4-45DC-A11E-C8F5157BB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0f25a-b2c8-472a-973d-e696c9fb97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Xtreme Consulting Group, Inc.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Alexandra Myles (Inviso)</cp:lastModifiedBy>
  <cp:revision>4</cp:revision>
  <cp:lastPrinted>2012-03-08T00:30:00Z</cp:lastPrinted>
  <dcterms:created xsi:type="dcterms:W3CDTF">2015-03-11T15:40:00Z</dcterms:created>
  <dcterms:modified xsi:type="dcterms:W3CDTF">2015-03-11T15:40:00Z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3014e742-e357-48ab-90db-c29bcec68fbb</vt:lpwstr>
  </property>
  <property fmtid="{D5CDD505-2E9C-101B-9397-08002B2CF9AE}" pid="3" name="ContentTypeId">
    <vt:lpwstr>0x01010072241C0945947D418CDB5E137CBFFB0B</vt:lpwstr>
  </property>
</Properties>
</file>