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EA601" w14:textId="77777777" w:rsidR="00DD5962" w:rsidRDefault="00DD5962"/>
    <w:p w14:paraId="75058CF7" w14:textId="77777777" w:rsidR="00DD5962" w:rsidRPr="005667F3" w:rsidRDefault="00DD5962" w:rsidP="00DD5962">
      <w:pPr>
        <w:pStyle w:val="startingparagraph"/>
        <w:keepNext w:val="0"/>
        <w:spacing w:before="120"/>
        <w:ind w:left="0"/>
        <w:rPr>
          <w:rFonts w:ascii="Segoe Pro" w:hAnsi="Segoe Pro"/>
          <w:b/>
          <w:sz w:val="40"/>
          <w:szCs w:val="40"/>
        </w:rPr>
      </w:pPr>
      <w:r w:rsidRPr="005667F3">
        <w:rPr>
          <w:rFonts w:ascii="Segoe Pro" w:hAnsi="Segoe Pro"/>
          <w:b/>
          <w:sz w:val="40"/>
          <w:szCs w:val="40"/>
        </w:rPr>
        <w:t xml:space="preserve">Microsoft Customer Agreement </w:t>
      </w:r>
    </w:p>
    <w:p w14:paraId="70FDDFDB" w14:textId="77777777" w:rsidR="00DD5962" w:rsidRPr="005667F3" w:rsidRDefault="00DD5962" w:rsidP="00DD5962">
      <w:pPr>
        <w:pStyle w:val="startingparagraph"/>
        <w:keepNext w:val="0"/>
        <w:spacing w:before="120"/>
        <w:ind w:left="0"/>
        <w:rPr>
          <w:rFonts w:ascii="Segoe Pro" w:hAnsi="Segoe Pro"/>
          <w:b/>
          <w:sz w:val="32"/>
          <w:szCs w:val="32"/>
        </w:rPr>
      </w:pPr>
      <w:r w:rsidRPr="005667F3">
        <w:rPr>
          <w:rFonts w:ascii="Segoe Pro" w:hAnsi="Segoe Pro"/>
          <w:b/>
          <w:sz w:val="32"/>
          <w:szCs w:val="32"/>
        </w:rPr>
        <w:t xml:space="preserve">Hardware Terms </w:t>
      </w:r>
    </w:p>
    <w:p w14:paraId="5681C5C6" w14:textId="77777777" w:rsidR="00DD5962" w:rsidRPr="00D74FFC" w:rsidRDefault="00DD5962" w:rsidP="00DD5962">
      <w:pPr>
        <w:pStyle w:val="startingparagraph"/>
        <w:keepNext w:val="0"/>
        <w:spacing w:before="120"/>
        <w:ind w:left="0"/>
        <w:rPr>
          <w:rFonts w:ascii="Segoe Pro" w:hAnsi="Segoe Pro"/>
        </w:rPr>
      </w:pPr>
      <w:r w:rsidRPr="00D74FFC">
        <w:rPr>
          <w:rFonts w:ascii="Segoe Pro" w:hAnsi="Segoe Pro"/>
        </w:rPr>
        <w:t xml:space="preserve">These terms </w:t>
      </w:r>
      <w:r>
        <w:rPr>
          <w:rFonts w:ascii="Segoe Pro" w:hAnsi="Segoe Pro"/>
        </w:rPr>
        <w:t xml:space="preserve">supplement the General Terms of the Microsoft Customer Agreement and </w:t>
      </w:r>
      <w:r w:rsidRPr="00D74FFC">
        <w:rPr>
          <w:rFonts w:ascii="Segoe Pro" w:hAnsi="Segoe Pro"/>
        </w:rPr>
        <w:t xml:space="preserve">apply to </w:t>
      </w:r>
      <w:r>
        <w:rPr>
          <w:rFonts w:ascii="Segoe Pro" w:hAnsi="Segoe Pro"/>
        </w:rPr>
        <w:t xml:space="preserve">the purchase of </w:t>
      </w:r>
      <w:r w:rsidRPr="00D74FFC">
        <w:rPr>
          <w:rFonts w:ascii="Segoe Pro" w:hAnsi="Segoe Pro"/>
        </w:rPr>
        <w:t xml:space="preserve">Hardware. </w:t>
      </w:r>
      <w:r>
        <w:rPr>
          <w:rFonts w:ascii="Segoe Pro" w:hAnsi="Segoe Pro"/>
        </w:rPr>
        <w:t xml:space="preserve"> If</w:t>
      </w:r>
      <w:r w:rsidRPr="00D74FFC">
        <w:rPr>
          <w:rFonts w:ascii="Segoe Pro" w:hAnsi="Segoe Pro"/>
        </w:rPr>
        <w:t xml:space="preserve"> there is any conflict between these terms and the General Terms, these terms control</w:t>
      </w:r>
      <w:r>
        <w:rPr>
          <w:rFonts w:ascii="Segoe Pro" w:hAnsi="Segoe Pro"/>
        </w:rPr>
        <w:t xml:space="preserve"> with respect to Hardware</w:t>
      </w:r>
      <w:r w:rsidRPr="00D74FFC">
        <w:rPr>
          <w:rFonts w:ascii="Segoe Pro" w:hAnsi="Segoe Pro"/>
        </w:rPr>
        <w:t xml:space="preserve">.  Capitalized terms have the meanings given in the General Terms unless defined below.  </w:t>
      </w:r>
    </w:p>
    <w:p w14:paraId="4B8D2874" w14:textId="77777777" w:rsidR="00DD5962" w:rsidRPr="005D3662" w:rsidRDefault="00DD5962" w:rsidP="00DD5962">
      <w:pPr>
        <w:pStyle w:val="startingparagraph"/>
        <w:keepNext w:val="0"/>
        <w:spacing w:before="120"/>
        <w:ind w:left="0"/>
        <w:rPr>
          <w:rFonts w:ascii="Segoe Pro" w:hAnsi="Segoe Pro"/>
        </w:rPr>
      </w:pPr>
      <w:r w:rsidRPr="00D74FFC">
        <w:rPr>
          <w:rFonts w:ascii="Segoe Pro" w:hAnsi="Segoe Pro"/>
          <w:b/>
          <w:i/>
          <w:sz w:val="24"/>
        </w:rPr>
        <w:t>Definitions</w:t>
      </w:r>
    </w:p>
    <w:p w14:paraId="0155B6B9" w14:textId="77777777" w:rsidR="00DD5962" w:rsidRDefault="00DD5962" w:rsidP="00DD5962">
      <w:pPr>
        <w:pStyle w:val="startingparagraph"/>
        <w:keepNext w:val="0"/>
        <w:spacing w:before="120"/>
        <w:ind w:left="0"/>
        <w:rPr>
          <w:rFonts w:ascii="Segoe Pro" w:hAnsi="Segoe Pro"/>
        </w:rPr>
      </w:pPr>
      <w:r w:rsidRPr="00D74FFC">
        <w:rPr>
          <w:rFonts w:ascii="Segoe Pro" w:hAnsi="Segoe Pro"/>
        </w:rPr>
        <w:t xml:space="preserve">“Hardware” means all </w:t>
      </w:r>
      <w:r>
        <w:rPr>
          <w:rFonts w:ascii="Segoe Pro" w:hAnsi="Segoe Pro"/>
        </w:rPr>
        <w:t xml:space="preserve">Microsoft </w:t>
      </w:r>
      <w:r w:rsidRPr="00D74FFC">
        <w:rPr>
          <w:rFonts w:ascii="Segoe Pro" w:hAnsi="Segoe Pro"/>
        </w:rPr>
        <w:t>devices</w:t>
      </w:r>
      <w:r>
        <w:rPr>
          <w:rFonts w:ascii="Segoe Pro" w:hAnsi="Segoe Pro"/>
        </w:rPr>
        <w:t>, a</w:t>
      </w:r>
      <w:r w:rsidRPr="00D74FFC">
        <w:rPr>
          <w:rFonts w:ascii="Segoe Pro" w:hAnsi="Segoe Pro"/>
        </w:rPr>
        <w:t>ccessorie</w:t>
      </w:r>
      <w:r>
        <w:rPr>
          <w:rFonts w:ascii="Segoe Pro" w:hAnsi="Segoe Pro"/>
        </w:rPr>
        <w:t>s, and spare parts</w:t>
      </w:r>
      <w:r w:rsidRPr="00D74FFC">
        <w:rPr>
          <w:rFonts w:ascii="Segoe Pro" w:hAnsi="Segoe Pro"/>
        </w:rPr>
        <w:t xml:space="preserve"> </w:t>
      </w:r>
      <w:r>
        <w:rPr>
          <w:rFonts w:ascii="Segoe Pro" w:hAnsi="Segoe Pro"/>
        </w:rPr>
        <w:t>purchased</w:t>
      </w:r>
      <w:r w:rsidRPr="00D74FFC">
        <w:rPr>
          <w:rFonts w:ascii="Segoe Pro" w:hAnsi="Segoe Pro"/>
        </w:rPr>
        <w:t xml:space="preserve"> under this Agreement.</w:t>
      </w:r>
      <w:bookmarkStart w:id="0" w:name="_GoBack"/>
      <w:bookmarkEnd w:id="0"/>
    </w:p>
    <w:p w14:paraId="504F7CBF" w14:textId="77777777" w:rsidR="00DD5962" w:rsidRDefault="00DD5962" w:rsidP="00DD5962">
      <w:pPr>
        <w:pStyle w:val="startingparagraph"/>
        <w:keepNext w:val="0"/>
        <w:spacing w:before="120"/>
        <w:ind w:left="0"/>
        <w:rPr>
          <w:rFonts w:ascii="Segoe Pro" w:hAnsi="Segoe Pro"/>
        </w:rPr>
      </w:pPr>
      <w:r>
        <w:rPr>
          <w:rFonts w:ascii="Segoe Pro" w:hAnsi="Segoe Pro"/>
        </w:rPr>
        <w:t xml:space="preserve">“High-Risk Use” means </w:t>
      </w:r>
      <w:r w:rsidRPr="00533D40">
        <w:rPr>
          <w:rFonts w:ascii="Segoe Pro" w:hAnsi="Segoe Pro"/>
        </w:rPr>
        <w:t xml:space="preserve">use in any system, application or situation where failure or fault of any kind of the </w:t>
      </w:r>
      <w:r>
        <w:rPr>
          <w:rFonts w:ascii="Segoe Pro" w:hAnsi="Segoe Pro"/>
        </w:rPr>
        <w:t>H</w:t>
      </w:r>
      <w:r w:rsidRPr="00533D40">
        <w:rPr>
          <w:rFonts w:ascii="Segoe Pro" w:hAnsi="Segoe Pro"/>
        </w:rPr>
        <w:t>ardware could reasonably be seen to lead to death or serious bodily injury of any person, or to severe physical or environmental damage</w:t>
      </w:r>
      <w:r>
        <w:rPr>
          <w:rFonts w:ascii="Segoe Pro" w:hAnsi="Segoe Pro"/>
        </w:rPr>
        <w:t>.</w:t>
      </w:r>
    </w:p>
    <w:p w14:paraId="1471854E" w14:textId="77777777" w:rsidR="00DD5962" w:rsidRPr="00D74FFC" w:rsidRDefault="00DD5962" w:rsidP="00DD5962">
      <w:pPr>
        <w:pStyle w:val="startingparagraph"/>
        <w:keepNext w:val="0"/>
        <w:spacing w:before="120"/>
        <w:ind w:left="0"/>
        <w:rPr>
          <w:rFonts w:ascii="Segoe Pro" w:hAnsi="Segoe Pro"/>
        </w:rPr>
      </w:pPr>
      <w:r w:rsidRPr="00D74FFC">
        <w:rPr>
          <w:rFonts w:ascii="Segoe Pro" w:hAnsi="Segoe Pro"/>
        </w:rPr>
        <w:t>“Included Software” means any software preinstalled on or distributed with Hardware.</w:t>
      </w:r>
    </w:p>
    <w:p w14:paraId="6213BF13" w14:textId="77777777" w:rsidR="00DD5962" w:rsidRDefault="00DD5962" w:rsidP="00DD5962">
      <w:pPr>
        <w:pStyle w:val="startingparagraph"/>
        <w:keepNext w:val="0"/>
        <w:spacing w:before="120"/>
        <w:ind w:left="0"/>
        <w:rPr>
          <w:rFonts w:ascii="Segoe Pro" w:hAnsi="Segoe Pro"/>
          <w:b/>
          <w:i/>
          <w:sz w:val="24"/>
        </w:rPr>
      </w:pPr>
      <w:r w:rsidRPr="00533D40">
        <w:rPr>
          <w:rFonts w:ascii="Segoe Pro" w:hAnsi="Segoe Pro"/>
          <w:b/>
          <w:i/>
          <w:sz w:val="24"/>
        </w:rPr>
        <w:t>Purchase Terms</w:t>
      </w:r>
    </w:p>
    <w:p w14:paraId="2A962F85" w14:textId="77777777" w:rsidR="00DD5962" w:rsidRPr="00755B54" w:rsidRDefault="00DD5962" w:rsidP="00DD5962">
      <w:pPr>
        <w:pStyle w:val="ListParagraph"/>
        <w:keepNext/>
        <w:numPr>
          <w:ilvl w:val="0"/>
          <w:numId w:val="1"/>
        </w:numPr>
        <w:spacing w:line="216" w:lineRule="auto"/>
        <w:contextualSpacing w:val="0"/>
        <w:jc w:val="left"/>
        <w:rPr>
          <w:rFonts w:ascii="Segoe Pro" w:hAnsi="Segoe Pro"/>
          <w:bCs/>
          <w:iCs/>
        </w:rPr>
      </w:pPr>
      <w:r w:rsidRPr="0026622D">
        <w:rPr>
          <w:rFonts w:ascii="Segoe Pro" w:hAnsi="Segoe Pro"/>
          <w:b/>
          <w:bCs/>
          <w:iCs/>
        </w:rPr>
        <w:t xml:space="preserve">Orders.  </w:t>
      </w:r>
      <w:r w:rsidRPr="00755B54">
        <w:rPr>
          <w:rFonts w:ascii="Segoe Pro" w:hAnsi="Segoe Pro"/>
          <w:bCs/>
          <w:iCs/>
        </w:rPr>
        <w:t xml:space="preserve">Each order is subject to Microsoft’s acceptance and the availability of the Hardware. Microsoft may decline or cancel any order at any time prior to shipping. Customer may not cancel any order once Microsoft has begun processing the order. </w:t>
      </w:r>
    </w:p>
    <w:p w14:paraId="5EA9BF35" w14:textId="77777777" w:rsidR="00DD5962" w:rsidRPr="00755B54" w:rsidRDefault="00DD5962" w:rsidP="00DD5962">
      <w:pPr>
        <w:pStyle w:val="ListParagraph"/>
        <w:keepNext/>
        <w:numPr>
          <w:ilvl w:val="0"/>
          <w:numId w:val="1"/>
        </w:numPr>
        <w:spacing w:line="216" w:lineRule="auto"/>
        <w:contextualSpacing w:val="0"/>
        <w:jc w:val="left"/>
        <w:rPr>
          <w:rFonts w:ascii="Segoe Pro" w:hAnsi="Segoe Pro"/>
          <w:bCs/>
          <w:iCs/>
        </w:rPr>
      </w:pPr>
      <w:r>
        <w:rPr>
          <w:rFonts w:ascii="Segoe Pro" w:hAnsi="Segoe Pro"/>
          <w:b/>
          <w:bCs/>
          <w:iCs/>
        </w:rPr>
        <w:t xml:space="preserve">Not for </w:t>
      </w:r>
      <w:r w:rsidRPr="00533D40">
        <w:rPr>
          <w:rFonts w:ascii="Segoe Pro" w:hAnsi="Segoe Pro"/>
          <w:b/>
          <w:bCs/>
          <w:iCs/>
        </w:rPr>
        <w:t xml:space="preserve">Resale. </w:t>
      </w:r>
      <w:r w:rsidRPr="00755B54">
        <w:rPr>
          <w:rFonts w:ascii="Segoe Pro" w:hAnsi="Segoe Pro"/>
          <w:bCs/>
          <w:iCs/>
        </w:rPr>
        <w:t xml:space="preserve">Hardware is sold to Customer for its own use and business purposes.  Customer may not purchase Hardware under this Agreement </w:t>
      </w:r>
      <w:proofErr w:type="gramStart"/>
      <w:r w:rsidRPr="00755B54">
        <w:rPr>
          <w:rFonts w:ascii="Segoe Pro" w:hAnsi="Segoe Pro"/>
          <w:bCs/>
          <w:iCs/>
        </w:rPr>
        <w:t>for the purpose of</w:t>
      </w:r>
      <w:proofErr w:type="gramEnd"/>
      <w:r w:rsidRPr="00755B54">
        <w:rPr>
          <w:rFonts w:ascii="Segoe Pro" w:hAnsi="Segoe Pro"/>
          <w:bCs/>
          <w:iCs/>
        </w:rPr>
        <w:t xml:space="preserve"> reselling that Hardware to any other customer, retailer, wholesaler, or other unrelated third party.</w:t>
      </w:r>
    </w:p>
    <w:p w14:paraId="31192F71" w14:textId="77777777" w:rsidR="00DD5962" w:rsidRPr="00755B54" w:rsidRDefault="00DD5962" w:rsidP="00DD5962">
      <w:pPr>
        <w:pStyle w:val="ListParagraph"/>
        <w:keepNext/>
        <w:numPr>
          <w:ilvl w:val="0"/>
          <w:numId w:val="1"/>
        </w:numPr>
        <w:spacing w:line="216" w:lineRule="auto"/>
        <w:contextualSpacing w:val="0"/>
        <w:jc w:val="left"/>
        <w:rPr>
          <w:rFonts w:ascii="Segoe Pro" w:hAnsi="Segoe Pro"/>
          <w:bCs/>
          <w:iCs/>
        </w:rPr>
      </w:pPr>
      <w:r w:rsidRPr="00F5481B">
        <w:rPr>
          <w:rFonts w:ascii="Segoe Pro" w:hAnsi="Segoe Pro"/>
          <w:b/>
          <w:bCs/>
          <w:iCs/>
        </w:rPr>
        <w:t>Shipping</w:t>
      </w:r>
      <w:r w:rsidRPr="00C81CF7">
        <w:rPr>
          <w:rFonts w:ascii="Segoe Pro" w:hAnsi="Segoe Pro"/>
          <w:b/>
          <w:bCs/>
          <w:iCs/>
        </w:rPr>
        <w:t xml:space="preserve">. </w:t>
      </w:r>
      <w:r w:rsidRPr="00755B54">
        <w:rPr>
          <w:rFonts w:ascii="Segoe Pro" w:hAnsi="Segoe Pro"/>
          <w:bCs/>
          <w:iCs/>
        </w:rPr>
        <w:t>If Customer is purchasing the Hardware directly from Microsoft, then Microsoft will deliver Hardware to the location Customer designates, freight prepaid.  Risk of loss for Hardware transfers to Customer upon delivery. Unless otherwise agreed, Microsoft will use ground shipping to ship Hardware to Customer.</w:t>
      </w:r>
    </w:p>
    <w:p w14:paraId="2E3DDE10" w14:textId="77777777" w:rsidR="00DD5962" w:rsidRPr="00755B54" w:rsidRDefault="00DD5962" w:rsidP="00DD5962">
      <w:pPr>
        <w:pStyle w:val="ListParagraph"/>
        <w:keepNext/>
        <w:numPr>
          <w:ilvl w:val="0"/>
          <w:numId w:val="1"/>
        </w:numPr>
        <w:spacing w:line="216" w:lineRule="auto"/>
        <w:contextualSpacing w:val="0"/>
        <w:jc w:val="left"/>
        <w:rPr>
          <w:rFonts w:ascii="Segoe Pro" w:hAnsi="Segoe Pro"/>
          <w:bCs/>
          <w:iCs/>
        </w:rPr>
      </w:pPr>
      <w:r w:rsidRPr="009308FE">
        <w:rPr>
          <w:rFonts w:ascii="Segoe Pro" w:hAnsi="Segoe Pro"/>
          <w:b/>
          <w:bCs/>
          <w:iCs/>
        </w:rPr>
        <w:t>Included Software</w:t>
      </w:r>
      <w:r w:rsidRPr="00C81CF7">
        <w:rPr>
          <w:rFonts w:ascii="Segoe Pro" w:hAnsi="Segoe Pro"/>
          <w:b/>
          <w:bCs/>
          <w:iCs/>
        </w:rPr>
        <w:t xml:space="preserve">.  </w:t>
      </w:r>
      <w:r w:rsidRPr="00755B54">
        <w:rPr>
          <w:rFonts w:ascii="Segoe Pro" w:hAnsi="Segoe Pro"/>
          <w:bCs/>
          <w:iCs/>
        </w:rPr>
        <w:t xml:space="preserve">Included Software may be subject to separate end-user license terms included with that software (“EULA”). Customer is not authorized to install or use the Included Software unless Customer first agrees to the EULA or a separate license agreement with Microsoft governing use of such Included Software. Customer accepts the EULA (1) by breaking the seal on packaging that refers to the EULA, (2) by using the Hardware, or (3) by installing, copying, or using the Included Software.  If Customer does not agree to the EULAs for all Included Software, Customer may return the Hardware unused to Microsoft for a full refund. The EULAs are not part of this Agreement, but to the extent of any conflict with this Agreement, the EULA will control solely for the Included Software to which it applies. </w:t>
      </w:r>
    </w:p>
    <w:p w14:paraId="50D385B8" w14:textId="77777777" w:rsidR="00DD5962" w:rsidRPr="00533D40" w:rsidRDefault="00DD5962" w:rsidP="00DD5962">
      <w:pPr>
        <w:pStyle w:val="startingparagraph"/>
        <w:keepNext w:val="0"/>
        <w:spacing w:before="120"/>
        <w:ind w:left="0"/>
        <w:rPr>
          <w:rFonts w:ascii="Segoe Pro" w:hAnsi="Segoe Pro"/>
          <w:b/>
          <w:i/>
          <w:sz w:val="24"/>
        </w:rPr>
      </w:pPr>
      <w:r w:rsidRPr="00533D40">
        <w:rPr>
          <w:rFonts w:ascii="Segoe Pro" w:hAnsi="Segoe Pro"/>
          <w:b/>
          <w:i/>
          <w:sz w:val="24"/>
        </w:rPr>
        <w:t>Returns</w:t>
      </w:r>
    </w:p>
    <w:p w14:paraId="26A98B5F" w14:textId="77777777" w:rsidR="00DD5962" w:rsidRDefault="00DD5962" w:rsidP="00DD5962">
      <w:pPr>
        <w:pStyle w:val="ListParagraph"/>
        <w:keepNext/>
        <w:numPr>
          <w:ilvl w:val="0"/>
          <w:numId w:val="2"/>
        </w:numPr>
        <w:spacing w:line="216" w:lineRule="auto"/>
        <w:contextualSpacing w:val="0"/>
        <w:jc w:val="left"/>
        <w:rPr>
          <w:rFonts w:ascii="Segoe Pro" w:hAnsi="Segoe Pro"/>
          <w:bCs/>
          <w:iCs/>
        </w:rPr>
      </w:pPr>
      <w:r w:rsidRPr="00533D40">
        <w:rPr>
          <w:rFonts w:ascii="Segoe Pro" w:hAnsi="Segoe Pro"/>
          <w:b/>
          <w:bCs/>
          <w:iCs/>
        </w:rPr>
        <w:t xml:space="preserve">Return policy. </w:t>
      </w:r>
      <w:r w:rsidRPr="00533D40">
        <w:rPr>
          <w:rFonts w:ascii="Segoe Pro" w:hAnsi="Segoe Pro"/>
          <w:bCs/>
          <w:iCs/>
        </w:rPr>
        <w:t>For Hardware purchased directly from Microsoft, Microsoft will accept returns for items that meet the requirements of this section for 30 days from the date of purchase.</w:t>
      </w:r>
    </w:p>
    <w:p w14:paraId="4880C28F" w14:textId="77777777" w:rsidR="00DD5962" w:rsidRPr="00DD5962" w:rsidRDefault="00DD5962" w:rsidP="00DD5962">
      <w:pPr>
        <w:pStyle w:val="ListParagraph"/>
        <w:numPr>
          <w:ilvl w:val="0"/>
          <w:numId w:val="2"/>
        </w:numPr>
      </w:pPr>
      <w:r w:rsidRPr="00DD5962">
        <w:rPr>
          <w:rFonts w:ascii="Segoe Pro" w:hAnsi="Segoe Pro"/>
          <w:b/>
          <w:bCs/>
          <w:iCs/>
        </w:rPr>
        <w:t>Requirements.</w:t>
      </w:r>
      <w:r w:rsidRPr="00DD5962">
        <w:rPr>
          <w:rFonts w:ascii="Segoe Pro" w:hAnsi="Segoe Pro"/>
          <w:bCs/>
          <w:iCs/>
        </w:rPr>
        <w:t xml:space="preserve"> All returns must be accompanied by the original documentation, instruction manuals, registration, parts and components (including cables, controllers, and accessories) and the original manufacturer packaging.</w:t>
      </w:r>
      <w:r>
        <w:rPr>
          <w:rFonts w:ascii="Segoe Pro" w:hAnsi="Segoe Pro"/>
          <w:bCs/>
          <w:iCs/>
        </w:rPr>
        <w:t xml:space="preserve"> </w:t>
      </w:r>
      <w:r w:rsidRPr="00533D40">
        <w:rPr>
          <w:rFonts w:ascii="Segoe Pro" w:hAnsi="Segoe Pro"/>
          <w:bCs/>
          <w:iCs/>
        </w:rPr>
        <w:t>The following items may not be returned: (i) items that have been personalized or customized; (ii) special order items; and (iii) items that have been used, altered or that show wear or damage.</w:t>
      </w:r>
    </w:p>
    <w:p w14:paraId="56BAF715" w14:textId="0EB4BD72" w:rsidR="00DD5962" w:rsidRPr="00DD5962" w:rsidRDefault="00DD5962" w:rsidP="00DD5962">
      <w:pPr>
        <w:pStyle w:val="ListParagraph"/>
        <w:numPr>
          <w:ilvl w:val="0"/>
          <w:numId w:val="2"/>
        </w:numPr>
      </w:pPr>
      <w:r w:rsidRPr="00DD5962">
        <w:rPr>
          <w:rFonts w:ascii="Segoe Pro" w:hAnsi="Segoe Pro"/>
          <w:b/>
          <w:bCs/>
          <w:iCs/>
        </w:rPr>
        <w:t xml:space="preserve">Refunds. </w:t>
      </w:r>
      <w:r w:rsidRPr="00DD5962">
        <w:rPr>
          <w:rFonts w:ascii="Segoe Pro" w:hAnsi="Segoe Pro"/>
          <w:bCs/>
          <w:iCs/>
        </w:rPr>
        <w:t>Refunds will be made in the same method as payment was accepted. Refunds will equal the amount paid less the original shipping charges, if any. Shipping charges will not be deducted if the Hardware is returned because Customer does not agree to the EULA(s) for Included Software.</w:t>
      </w:r>
      <w:r w:rsidRPr="00DD5962">
        <w:rPr>
          <w:rFonts w:ascii="Segoe Pro" w:hAnsi="Segoe Pro"/>
          <w:b/>
          <w:bCs/>
          <w:iCs/>
        </w:rPr>
        <w:t xml:space="preserve"> </w:t>
      </w:r>
    </w:p>
    <w:p w14:paraId="5DA5B1ED" w14:textId="77777777" w:rsidR="00DD5962" w:rsidRPr="00533D40" w:rsidRDefault="00DD5962" w:rsidP="00DD5962">
      <w:pPr>
        <w:pStyle w:val="ListParagraph"/>
        <w:keepNext/>
        <w:numPr>
          <w:ilvl w:val="0"/>
          <w:numId w:val="2"/>
        </w:numPr>
        <w:spacing w:line="216" w:lineRule="auto"/>
        <w:contextualSpacing w:val="0"/>
        <w:jc w:val="left"/>
        <w:rPr>
          <w:rFonts w:ascii="Segoe Pro" w:hAnsi="Segoe Pro"/>
          <w:bCs/>
          <w:iCs/>
        </w:rPr>
      </w:pPr>
      <w:r w:rsidRPr="00533D40">
        <w:rPr>
          <w:rFonts w:ascii="Segoe Pro" w:hAnsi="Segoe Pro"/>
          <w:b/>
          <w:bCs/>
          <w:iCs/>
        </w:rPr>
        <w:lastRenderedPageBreak/>
        <w:t>Personal data</w:t>
      </w:r>
      <w:r w:rsidRPr="00533D40">
        <w:rPr>
          <w:rFonts w:ascii="Segoe Pro" w:hAnsi="Segoe Pro"/>
          <w:bCs/>
          <w:iCs/>
        </w:rPr>
        <w:t>.  Microsoft is not responsible for any customer or personal data included on returned or exchanged items. Customer must ensure that all customer and personal data are removed from all items prior to return or exchange.</w:t>
      </w:r>
    </w:p>
    <w:p w14:paraId="38A7AE02" w14:textId="77777777" w:rsidR="00DD5962" w:rsidRPr="00533D40" w:rsidRDefault="00DD5962" w:rsidP="00DD5962">
      <w:pPr>
        <w:pStyle w:val="ListParagraph"/>
        <w:keepNext/>
        <w:numPr>
          <w:ilvl w:val="0"/>
          <w:numId w:val="2"/>
        </w:numPr>
        <w:spacing w:line="216" w:lineRule="auto"/>
        <w:contextualSpacing w:val="0"/>
        <w:jc w:val="left"/>
        <w:rPr>
          <w:rFonts w:ascii="Segoe Pro" w:hAnsi="Segoe Pro"/>
          <w:bCs/>
          <w:iCs/>
        </w:rPr>
      </w:pPr>
      <w:r w:rsidRPr="00533D40">
        <w:rPr>
          <w:rFonts w:ascii="Segoe Pro" w:hAnsi="Segoe Pro"/>
          <w:b/>
          <w:bCs/>
          <w:iCs/>
        </w:rPr>
        <w:t>Promotional items and bundles.</w:t>
      </w:r>
      <w:r w:rsidRPr="00533D40">
        <w:rPr>
          <w:rFonts w:ascii="Segoe Pro" w:hAnsi="Segoe Pro"/>
          <w:bCs/>
          <w:iCs/>
        </w:rPr>
        <w:t xml:space="preserve">  For promotional items and bundles, all included products must be returned together. If </w:t>
      </w:r>
      <w:r>
        <w:rPr>
          <w:rFonts w:ascii="Segoe Pro" w:hAnsi="Segoe Pro"/>
          <w:bCs/>
          <w:iCs/>
        </w:rPr>
        <w:t>a</w:t>
      </w:r>
      <w:r w:rsidRPr="00533D40">
        <w:rPr>
          <w:rFonts w:ascii="Segoe Pro" w:hAnsi="Segoe Pro"/>
          <w:bCs/>
          <w:iCs/>
        </w:rPr>
        <w:t xml:space="preserve"> promotion or bundle </w:t>
      </w:r>
      <w:r>
        <w:rPr>
          <w:rFonts w:ascii="Segoe Pro" w:hAnsi="Segoe Pro"/>
          <w:bCs/>
          <w:iCs/>
        </w:rPr>
        <w:t xml:space="preserve">includes a service that </w:t>
      </w:r>
      <w:r w:rsidRPr="00533D40">
        <w:rPr>
          <w:rFonts w:ascii="Segoe Pro" w:hAnsi="Segoe Pro"/>
          <w:bCs/>
          <w:iCs/>
        </w:rPr>
        <w:t>has been used, the full retail value of the service will be deducted from the refund amount. When a bundle is purchased and only part of the bundle is returned, the bundle discount is void, and the total bundle discount will be deducted from the refund.</w:t>
      </w:r>
    </w:p>
    <w:p w14:paraId="6A31049D" w14:textId="77777777" w:rsidR="00DD5962" w:rsidRPr="00533D40" w:rsidRDefault="00DD5962" w:rsidP="00DD5962">
      <w:pPr>
        <w:pStyle w:val="startingparagraph"/>
        <w:keepNext w:val="0"/>
        <w:spacing w:before="120"/>
        <w:ind w:left="0"/>
        <w:rPr>
          <w:rFonts w:ascii="Segoe Pro" w:hAnsi="Segoe Pro"/>
          <w:b/>
          <w:i/>
          <w:sz w:val="24"/>
        </w:rPr>
      </w:pPr>
      <w:r>
        <w:rPr>
          <w:rFonts w:ascii="Segoe Pro" w:hAnsi="Segoe Pro"/>
          <w:b/>
          <w:i/>
          <w:sz w:val="24"/>
        </w:rPr>
        <w:t xml:space="preserve">Hardware </w:t>
      </w:r>
      <w:r w:rsidRPr="00533D40">
        <w:rPr>
          <w:rFonts w:ascii="Segoe Pro" w:hAnsi="Segoe Pro"/>
          <w:b/>
          <w:i/>
          <w:sz w:val="24"/>
        </w:rPr>
        <w:t>Warranties</w:t>
      </w:r>
    </w:p>
    <w:p w14:paraId="758AEA27" w14:textId="77777777" w:rsidR="00DD5962" w:rsidRDefault="00DD5962" w:rsidP="00DD5962">
      <w:pPr>
        <w:pStyle w:val="HeadingsMPSA"/>
        <w:keepNext w:val="0"/>
        <w:spacing w:before="120"/>
        <w:rPr>
          <w:rFonts w:ascii="Segoe Pro" w:hAnsi="Segoe Pro" w:cs="Segoe UI"/>
          <w:b w:val="0"/>
          <w:i w:val="0"/>
          <w:sz w:val="20"/>
          <w:szCs w:val="20"/>
        </w:rPr>
      </w:pPr>
      <w:r>
        <w:rPr>
          <w:rFonts w:ascii="Segoe Pro" w:hAnsi="Segoe Pro" w:cs="Segoe UI"/>
          <w:b w:val="0"/>
          <w:i w:val="0"/>
          <w:sz w:val="20"/>
          <w:szCs w:val="20"/>
        </w:rPr>
        <w:t xml:space="preserve">The </w:t>
      </w:r>
      <w:r w:rsidRPr="00533D40">
        <w:rPr>
          <w:rFonts w:ascii="Segoe Pro" w:hAnsi="Segoe Pro" w:cs="Segoe UI"/>
          <w:b w:val="0"/>
          <w:i w:val="0"/>
          <w:sz w:val="20"/>
          <w:szCs w:val="20"/>
        </w:rPr>
        <w:t>sole warranty</w:t>
      </w:r>
      <w:r>
        <w:rPr>
          <w:rFonts w:ascii="Segoe Pro" w:hAnsi="Segoe Pro" w:cs="Segoe UI"/>
          <w:b w:val="0"/>
          <w:i w:val="0"/>
          <w:sz w:val="20"/>
          <w:szCs w:val="20"/>
        </w:rPr>
        <w:t xml:space="preserve"> and remedies</w:t>
      </w:r>
      <w:r w:rsidRPr="00533D40">
        <w:rPr>
          <w:rFonts w:ascii="Segoe Pro" w:hAnsi="Segoe Pro" w:cs="Segoe UI"/>
          <w:b w:val="0"/>
          <w:i w:val="0"/>
          <w:sz w:val="20"/>
          <w:szCs w:val="20"/>
        </w:rPr>
        <w:t xml:space="preserve"> Microsoft provides for Hardware is the manufacturer’s limited warranty (if any) applicable to the Hardware</w:t>
      </w:r>
      <w:r>
        <w:rPr>
          <w:rFonts w:ascii="Segoe Pro" w:hAnsi="Segoe Pro" w:cs="Segoe UI"/>
          <w:b w:val="0"/>
          <w:i w:val="0"/>
          <w:sz w:val="20"/>
          <w:szCs w:val="20"/>
        </w:rPr>
        <w:t xml:space="preserve"> </w:t>
      </w:r>
      <w:r w:rsidRPr="00533D40">
        <w:rPr>
          <w:rFonts w:ascii="Segoe Pro" w:hAnsi="Segoe Pro" w:cs="Segoe UI"/>
          <w:b w:val="0"/>
          <w:i w:val="0"/>
          <w:sz w:val="20"/>
          <w:szCs w:val="20"/>
        </w:rPr>
        <w:t xml:space="preserve">or any extended warranty that Customer may purchase </w:t>
      </w:r>
      <w:r>
        <w:rPr>
          <w:rFonts w:ascii="Segoe Pro" w:hAnsi="Segoe Pro" w:cs="Segoe UI"/>
          <w:b w:val="0"/>
          <w:i w:val="0"/>
          <w:sz w:val="20"/>
          <w:szCs w:val="20"/>
        </w:rPr>
        <w:t>from Microsoft</w:t>
      </w:r>
      <w:r w:rsidRPr="007D2328">
        <w:rPr>
          <w:rFonts w:ascii="Segoe Pro" w:hAnsi="Segoe Pro" w:cs="Segoe UI"/>
          <w:b w:val="0"/>
          <w:i w:val="0"/>
          <w:sz w:val="20"/>
          <w:szCs w:val="20"/>
        </w:rPr>
        <w:t xml:space="preserve"> </w:t>
      </w:r>
      <w:r>
        <w:rPr>
          <w:rFonts w:ascii="Segoe Pro" w:hAnsi="Segoe Pro" w:cs="Segoe UI"/>
          <w:b w:val="0"/>
          <w:i w:val="0"/>
          <w:sz w:val="20"/>
          <w:szCs w:val="20"/>
        </w:rPr>
        <w:t>separately</w:t>
      </w:r>
      <w:r w:rsidRPr="00533D40">
        <w:rPr>
          <w:rFonts w:ascii="Segoe Pro" w:hAnsi="Segoe Pro" w:cs="Segoe UI"/>
          <w:b w:val="0"/>
          <w:i w:val="0"/>
          <w:sz w:val="20"/>
          <w:szCs w:val="20"/>
        </w:rPr>
        <w:t xml:space="preserve">, as each </w:t>
      </w:r>
      <w:r>
        <w:rPr>
          <w:rFonts w:ascii="Segoe Pro" w:hAnsi="Segoe Pro" w:cs="Segoe UI"/>
          <w:b w:val="0"/>
          <w:i w:val="0"/>
          <w:sz w:val="20"/>
          <w:szCs w:val="20"/>
        </w:rPr>
        <w:t>is</w:t>
      </w:r>
      <w:r w:rsidRPr="00533D40">
        <w:rPr>
          <w:rFonts w:ascii="Segoe Pro" w:hAnsi="Segoe Pro" w:cs="Segoe UI"/>
          <w:b w:val="0"/>
          <w:i w:val="0"/>
          <w:sz w:val="20"/>
          <w:szCs w:val="20"/>
        </w:rPr>
        <w:t xml:space="preserve"> described on</w:t>
      </w:r>
      <w:r>
        <w:rPr>
          <w:rFonts w:ascii="Segoe Pro" w:hAnsi="Segoe Pro" w:cs="Segoe UI"/>
          <w:b w:val="0"/>
          <w:i w:val="0"/>
          <w:sz w:val="20"/>
          <w:szCs w:val="20"/>
        </w:rPr>
        <w:t xml:space="preserve"> </w:t>
      </w:r>
      <w:hyperlink r:id="rId7" w:history="1">
        <w:r w:rsidRPr="0033077E">
          <w:rPr>
            <w:rStyle w:val="Hyperlink"/>
            <w:rFonts w:ascii="Segoe Pro" w:hAnsi="Segoe Pro" w:cs="Segoe UI"/>
            <w:b w:val="0"/>
            <w:i w:val="0"/>
            <w:sz w:val="20"/>
            <w:szCs w:val="20"/>
          </w:rPr>
          <w:t>www.microsoft.com/surface/warranty</w:t>
        </w:r>
      </w:hyperlink>
      <w:r>
        <w:rPr>
          <w:rFonts w:ascii="Segoe Pro" w:hAnsi="Segoe Pro" w:cs="Segoe UI"/>
          <w:b w:val="0"/>
          <w:i w:val="0"/>
          <w:sz w:val="20"/>
          <w:szCs w:val="20"/>
        </w:rPr>
        <w:t xml:space="preserve"> (or a successor site).  </w:t>
      </w:r>
    </w:p>
    <w:p w14:paraId="6D45C251" w14:textId="77777777" w:rsidR="00DD5962" w:rsidRPr="00533D40" w:rsidRDefault="00DD5962" w:rsidP="00DD5962">
      <w:pPr>
        <w:pStyle w:val="startingparagraph"/>
        <w:keepNext w:val="0"/>
        <w:spacing w:before="120" w:after="240"/>
        <w:ind w:left="0"/>
        <w:rPr>
          <w:rFonts w:ascii="Segoe Pro" w:hAnsi="Segoe Pro"/>
          <w:b/>
          <w:i/>
          <w:sz w:val="24"/>
        </w:rPr>
      </w:pPr>
      <w:r>
        <w:rPr>
          <w:rFonts w:ascii="Segoe Pro" w:hAnsi="Segoe Pro"/>
          <w:b/>
          <w:i/>
          <w:sz w:val="24"/>
        </w:rPr>
        <w:t>High-Risk Use</w:t>
      </w:r>
    </w:p>
    <w:p w14:paraId="283C89D9" w14:textId="77777777" w:rsidR="00DD5962" w:rsidRPr="00533D40" w:rsidRDefault="00DD5962" w:rsidP="00DD5962">
      <w:pPr>
        <w:pStyle w:val="mainbullet"/>
        <w:numPr>
          <w:ilvl w:val="0"/>
          <w:numId w:val="3"/>
        </w:numPr>
        <w:spacing w:before="120"/>
        <w:rPr>
          <w:rFonts w:ascii="Segoe Pro" w:hAnsi="Segoe Pro"/>
          <w:b/>
        </w:rPr>
      </w:pPr>
      <w:r w:rsidRPr="00533D40">
        <w:rPr>
          <w:rFonts w:ascii="Segoe Pro" w:hAnsi="Segoe Pro"/>
          <w:b/>
        </w:rPr>
        <w:t xml:space="preserve">WARNING: </w:t>
      </w:r>
      <w:r w:rsidRPr="00533D40">
        <w:rPr>
          <w:rFonts w:ascii="Segoe Pro" w:hAnsi="Segoe Pro"/>
        </w:rPr>
        <w:t xml:space="preserve">The Hardware is not fault-tolerant. The Hardware is not designed or intended for </w:t>
      </w:r>
      <w:r>
        <w:rPr>
          <w:rFonts w:ascii="Segoe Pro" w:hAnsi="Segoe Pro"/>
        </w:rPr>
        <w:t>any High-Risk Use</w:t>
      </w:r>
      <w:r w:rsidRPr="00533D40">
        <w:rPr>
          <w:rFonts w:ascii="Segoe Pro" w:hAnsi="Segoe Pro"/>
        </w:rPr>
        <w:t>.  If Customer elects to use the Hardware for a High-Risk Use, it does so at its own risk.</w:t>
      </w:r>
      <w:r w:rsidRPr="00533D40">
        <w:rPr>
          <w:rFonts w:ascii="Segoe Pro" w:hAnsi="Segoe Pro"/>
          <w:b/>
        </w:rPr>
        <w:t xml:space="preserve">  </w:t>
      </w:r>
    </w:p>
    <w:p w14:paraId="35811D61" w14:textId="77777777" w:rsidR="00DD5962" w:rsidRPr="009B43DC" w:rsidRDefault="00DD5962" w:rsidP="00DD5962">
      <w:pPr>
        <w:pStyle w:val="mainbullet"/>
        <w:numPr>
          <w:ilvl w:val="0"/>
          <w:numId w:val="3"/>
        </w:numPr>
        <w:spacing w:before="120"/>
        <w:rPr>
          <w:rFonts w:ascii="Segoe Pro" w:hAnsi="Segoe Pro"/>
        </w:rPr>
      </w:pPr>
      <w:r>
        <w:rPr>
          <w:rFonts w:ascii="Segoe Pro" w:hAnsi="Segoe Pro"/>
          <w:b/>
        </w:rPr>
        <w:t>Defense of Third-party Claims</w:t>
      </w:r>
      <w:r w:rsidRPr="00533D40">
        <w:rPr>
          <w:rFonts w:ascii="Segoe Pro" w:hAnsi="Segoe Pro"/>
          <w:b/>
        </w:rPr>
        <w:t xml:space="preserve">.  </w:t>
      </w:r>
      <w:r w:rsidRPr="00533D40">
        <w:rPr>
          <w:rFonts w:ascii="Segoe Pro" w:hAnsi="Segoe Pro"/>
        </w:rPr>
        <w:t>Without limiting Customer’s defense obligations in the General Terms, Customer agree</w:t>
      </w:r>
      <w:r>
        <w:rPr>
          <w:rFonts w:ascii="Segoe Pro" w:hAnsi="Segoe Pro"/>
        </w:rPr>
        <w:t>s</w:t>
      </w:r>
      <w:r w:rsidRPr="00533D40">
        <w:rPr>
          <w:rFonts w:ascii="Segoe Pro" w:hAnsi="Segoe Pro"/>
        </w:rPr>
        <w:t xml:space="preserve"> to defend</w:t>
      </w:r>
      <w:r>
        <w:rPr>
          <w:rFonts w:ascii="Segoe Pro" w:hAnsi="Segoe Pro"/>
        </w:rPr>
        <w:t>, indemnify and hold harmless</w:t>
      </w:r>
      <w:r w:rsidRPr="00533D40">
        <w:rPr>
          <w:rFonts w:ascii="Segoe Pro" w:hAnsi="Segoe Pro"/>
        </w:rPr>
        <w:t xml:space="preserve"> Microsoft and </w:t>
      </w:r>
      <w:r w:rsidRPr="00533D40">
        <w:rPr>
          <w:rFonts w:ascii="Segoe Pro" w:hAnsi="Segoe Pro"/>
          <w:bCs w:val="0"/>
        </w:rPr>
        <w:t xml:space="preserve">its </w:t>
      </w:r>
      <w:r w:rsidRPr="00533D40">
        <w:rPr>
          <w:rFonts w:ascii="Segoe Pro" w:hAnsi="Segoe Pro"/>
        </w:rPr>
        <w:t xml:space="preserve">Affiliates </w:t>
      </w:r>
      <w:r w:rsidRPr="009B43DC">
        <w:rPr>
          <w:rFonts w:ascii="Segoe Pro" w:hAnsi="Segoe Pro"/>
          <w:bCs w:val="0"/>
        </w:rPr>
        <w:t>f</w:t>
      </w:r>
      <w:r w:rsidRPr="00533D40">
        <w:rPr>
          <w:rFonts w:ascii="Segoe Pro" w:hAnsi="Segoe Pro"/>
        </w:rPr>
        <w:t xml:space="preserve">rom and against all damages, costs and attorneys' fees arising from claims or demands associated with </w:t>
      </w:r>
      <w:r w:rsidRPr="00533D40">
        <w:rPr>
          <w:rFonts w:ascii="Segoe Pro" w:hAnsi="Segoe Pro"/>
          <w:bCs w:val="0"/>
        </w:rPr>
        <w:t>Customer’s High-Risk Use of Hardware.  This obligation</w:t>
      </w:r>
      <w:r w:rsidRPr="00533D40" w:rsidDel="00F376E8">
        <w:rPr>
          <w:rFonts w:ascii="Segoe Pro" w:hAnsi="Segoe Pro"/>
          <w:bCs w:val="0"/>
        </w:rPr>
        <w:t xml:space="preserve"> </w:t>
      </w:r>
      <w:r w:rsidRPr="00B156F2">
        <w:rPr>
          <w:rFonts w:ascii="Segoe Pro" w:hAnsi="Segoe Pro"/>
          <w:bCs w:val="0"/>
        </w:rPr>
        <w:t xml:space="preserve">will not be subject to any limitation of, or exclusion from, liability in </w:t>
      </w:r>
      <w:r w:rsidRPr="00533D40">
        <w:rPr>
          <w:rFonts w:ascii="Segoe Pro" w:hAnsi="Segoe Pro"/>
          <w:bCs w:val="0"/>
        </w:rPr>
        <w:t>this Agreement</w:t>
      </w:r>
      <w:r w:rsidRPr="00B156F2">
        <w:rPr>
          <w:rFonts w:ascii="Segoe Pro" w:hAnsi="Segoe Pro"/>
          <w:bCs w:val="0"/>
        </w:rPr>
        <w:t>.</w:t>
      </w:r>
    </w:p>
    <w:p w14:paraId="3550DA05" w14:textId="77777777" w:rsidR="00DD5962" w:rsidRPr="00533D40" w:rsidRDefault="00DD5962" w:rsidP="00DD5962">
      <w:pPr>
        <w:pStyle w:val="startingparagraph"/>
        <w:keepNext w:val="0"/>
        <w:spacing w:before="120"/>
        <w:ind w:left="0"/>
        <w:rPr>
          <w:rFonts w:ascii="Segoe Pro" w:hAnsi="Segoe Pro"/>
          <w:b/>
          <w:i/>
          <w:sz w:val="24"/>
        </w:rPr>
      </w:pPr>
      <w:r w:rsidRPr="00533D40">
        <w:rPr>
          <w:rFonts w:ascii="Segoe Pro" w:hAnsi="Segoe Pro"/>
          <w:b/>
          <w:i/>
          <w:sz w:val="24"/>
        </w:rPr>
        <w:t>Limitation of Liability</w:t>
      </w:r>
    </w:p>
    <w:p w14:paraId="79C8CC1A" w14:textId="77777777" w:rsidR="00DD5962" w:rsidRDefault="00DD5962" w:rsidP="00DD5962">
      <w:pPr>
        <w:pStyle w:val="mainbullet"/>
        <w:spacing w:before="120"/>
        <w:rPr>
          <w:rFonts w:ascii="Segoe Pro" w:hAnsi="Segoe Pro"/>
        </w:rPr>
      </w:pPr>
      <w:r>
        <w:rPr>
          <w:rFonts w:ascii="Segoe Pro" w:hAnsi="Segoe Pro"/>
        </w:rPr>
        <w:t>Each party’s</w:t>
      </w:r>
      <w:r w:rsidRPr="00533D40">
        <w:rPr>
          <w:rFonts w:ascii="Segoe Pro" w:hAnsi="Segoe Pro"/>
        </w:rPr>
        <w:t xml:space="preserve"> </w:t>
      </w:r>
      <w:r>
        <w:rPr>
          <w:rFonts w:ascii="Segoe Pro" w:hAnsi="Segoe Pro"/>
        </w:rPr>
        <w:t>total</w:t>
      </w:r>
      <w:r w:rsidRPr="00533D40">
        <w:rPr>
          <w:rFonts w:ascii="Segoe Pro" w:hAnsi="Segoe Pro"/>
        </w:rPr>
        <w:t xml:space="preserve"> liability </w:t>
      </w:r>
      <w:r>
        <w:rPr>
          <w:rFonts w:ascii="Segoe Pro" w:hAnsi="Segoe Pro"/>
        </w:rPr>
        <w:t>to the other</w:t>
      </w:r>
      <w:r w:rsidRPr="00533D40">
        <w:rPr>
          <w:rFonts w:ascii="Segoe Pro" w:hAnsi="Segoe Pro"/>
        </w:rPr>
        <w:t xml:space="preserve"> for all claims</w:t>
      </w:r>
      <w:r>
        <w:rPr>
          <w:rFonts w:ascii="Segoe Pro" w:hAnsi="Segoe Pro"/>
        </w:rPr>
        <w:t xml:space="preserve"> related to each Hardware device</w:t>
      </w:r>
      <w:r w:rsidRPr="00533D40">
        <w:rPr>
          <w:rFonts w:ascii="Segoe Pro" w:hAnsi="Segoe Pro"/>
        </w:rPr>
        <w:t xml:space="preserve"> is limited to direct damages up to the amount Customer paid for </w:t>
      </w:r>
      <w:r>
        <w:rPr>
          <w:rFonts w:ascii="Segoe Pro" w:hAnsi="Segoe Pro"/>
        </w:rPr>
        <w:t>that</w:t>
      </w:r>
      <w:r w:rsidRPr="00533D40">
        <w:rPr>
          <w:rFonts w:ascii="Segoe Pro" w:hAnsi="Segoe Pro"/>
        </w:rPr>
        <w:t xml:space="preserve"> Hardware</w:t>
      </w:r>
      <w:r>
        <w:rPr>
          <w:rFonts w:ascii="Segoe Pro" w:hAnsi="Segoe Pro"/>
        </w:rPr>
        <w:t xml:space="preserve"> device, subject to the following:</w:t>
      </w:r>
    </w:p>
    <w:p w14:paraId="274AFCEE" w14:textId="77777777" w:rsidR="00DD5962" w:rsidRPr="00533D40" w:rsidRDefault="00DD5962" w:rsidP="00DD5962">
      <w:pPr>
        <w:pStyle w:val="mainbullet"/>
        <w:numPr>
          <w:ilvl w:val="0"/>
          <w:numId w:val="4"/>
        </w:numPr>
        <w:spacing w:before="120"/>
        <w:rPr>
          <w:rFonts w:ascii="Segoe Pro" w:hAnsi="Segoe Pro"/>
        </w:rPr>
      </w:pPr>
      <w:r>
        <w:rPr>
          <w:rFonts w:ascii="Segoe Pro" w:hAnsi="Segoe Pro"/>
          <w:b/>
        </w:rPr>
        <w:t>Applicability</w:t>
      </w:r>
      <w:r w:rsidRPr="00533D40">
        <w:rPr>
          <w:rFonts w:ascii="Segoe Pro" w:hAnsi="Segoe Pro"/>
          <w:b/>
        </w:rPr>
        <w:t xml:space="preserve">.  </w:t>
      </w:r>
      <w:r w:rsidRPr="00533D40">
        <w:rPr>
          <w:rFonts w:ascii="Segoe Pro" w:hAnsi="Segoe Pro"/>
        </w:rPr>
        <w:t xml:space="preserve">To the extent permitted by applicable law, </w:t>
      </w:r>
      <w:r>
        <w:rPr>
          <w:rFonts w:ascii="Segoe Pro" w:hAnsi="Segoe Pro"/>
        </w:rPr>
        <w:t>this</w:t>
      </w:r>
      <w:r w:rsidRPr="00533D40">
        <w:rPr>
          <w:rFonts w:ascii="Segoe Pro" w:hAnsi="Segoe Pro"/>
        </w:rPr>
        <w:t xml:space="preserve"> limitation appl</w:t>
      </w:r>
      <w:r>
        <w:rPr>
          <w:rFonts w:ascii="Segoe Pro" w:hAnsi="Segoe Pro"/>
        </w:rPr>
        <w:t>ies</w:t>
      </w:r>
      <w:r w:rsidRPr="00533D40">
        <w:rPr>
          <w:rFonts w:ascii="Segoe Pro" w:hAnsi="Segoe Pro"/>
        </w:rPr>
        <w:t xml:space="preserve"> to all claims and damages</w:t>
      </w:r>
      <w:r>
        <w:rPr>
          <w:rFonts w:ascii="Segoe Pro" w:hAnsi="Segoe Pro"/>
        </w:rPr>
        <w:t xml:space="preserve"> related to Hardware purchased under this Agreement,</w:t>
      </w:r>
      <w:r w:rsidRPr="00533D40">
        <w:rPr>
          <w:rFonts w:ascii="Segoe Pro" w:hAnsi="Segoe Pro"/>
        </w:rPr>
        <w:t xml:space="preserve"> including, without limitation, breach of contract, breach of warranty, strict liability, and negligence and other torts, even if the parties knew or should have known about the possibility of the damages. </w:t>
      </w:r>
    </w:p>
    <w:p w14:paraId="02D5F721" w14:textId="77777777" w:rsidR="00DD5962" w:rsidRPr="00533D40" w:rsidRDefault="00DD5962" w:rsidP="00DD5962">
      <w:pPr>
        <w:pStyle w:val="mainbullet"/>
        <w:numPr>
          <w:ilvl w:val="0"/>
          <w:numId w:val="4"/>
        </w:numPr>
        <w:spacing w:before="120"/>
        <w:rPr>
          <w:rFonts w:ascii="Segoe Pro" w:hAnsi="Segoe Pro"/>
        </w:rPr>
      </w:pPr>
      <w:r w:rsidRPr="00533D40">
        <w:rPr>
          <w:rFonts w:ascii="Segoe Pro" w:hAnsi="Segoe Pro"/>
          <w:b/>
        </w:rPr>
        <w:t>Exclusions</w:t>
      </w:r>
      <w:r>
        <w:rPr>
          <w:rFonts w:ascii="Segoe Pro" w:hAnsi="Segoe Pro"/>
        </w:rPr>
        <w:t xml:space="preserve">. </w:t>
      </w:r>
      <w:r w:rsidRPr="00533D40">
        <w:rPr>
          <w:rFonts w:ascii="Segoe Pro" w:hAnsi="Segoe Pro"/>
        </w:rPr>
        <w:t xml:space="preserve">The Exclusions in the General Terms apply.  </w:t>
      </w:r>
    </w:p>
    <w:p w14:paraId="65765719" w14:textId="77777777" w:rsidR="00DD5962" w:rsidRPr="005A777A" w:rsidRDefault="00DD5962" w:rsidP="00DD5962">
      <w:pPr>
        <w:pStyle w:val="mainbullet"/>
        <w:numPr>
          <w:ilvl w:val="0"/>
          <w:numId w:val="4"/>
        </w:numPr>
        <w:spacing w:before="120"/>
        <w:rPr>
          <w:rFonts w:ascii="Segoe Pro" w:hAnsi="Segoe Pro"/>
        </w:rPr>
      </w:pPr>
      <w:r w:rsidRPr="00533D40">
        <w:rPr>
          <w:rFonts w:ascii="Segoe Pro" w:hAnsi="Segoe Pro"/>
          <w:b/>
        </w:rPr>
        <w:t xml:space="preserve">Exceptions.  </w:t>
      </w:r>
      <w:r w:rsidRPr="00533D40">
        <w:rPr>
          <w:rFonts w:ascii="Segoe Pro" w:hAnsi="Segoe Pro"/>
        </w:rPr>
        <w:t xml:space="preserve">In addition to the exceptions identified in the General Terms, no limitation will apply to liability arising out of Customer’s High-Risk Use of the Hardware.  </w:t>
      </w:r>
    </w:p>
    <w:p w14:paraId="07F83713" w14:textId="77777777" w:rsidR="00DD5962" w:rsidRPr="00F5481B" w:rsidRDefault="00DD5962" w:rsidP="00DD5962">
      <w:pPr>
        <w:pStyle w:val="startingparagraph"/>
        <w:keepNext w:val="0"/>
        <w:spacing w:before="120"/>
        <w:ind w:left="0"/>
        <w:rPr>
          <w:rFonts w:ascii="Segoe Pro" w:hAnsi="Segoe Pro"/>
          <w:b/>
          <w:i/>
          <w:sz w:val="24"/>
        </w:rPr>
      </w:pPr>
      <w:r w:rsidRPr="00F5481B">
        <w:rPr>
          <w:rFonts w:ascii="Segoe Pro" w:hAnsi="Segoe Pro"/>
          <w:b/>
          <w:i/>
          <w:sz w:val="24"/>
        </w:rPr>
        <w:t>Environmental Compliance</w:t>
      </w:r>
    </w:p>
    <w:p w14:paraId="586587FA" w14:textId="77777777" w:rsidR="00DD5962" w:rsidRPr="002A0EB7" w:rsidRDefault="00DD5962" w:rsidP="00DD5962">
      <w:pPr>
        <w:pStyle w:val="mainbullet"/>
        <w:numPr>
          <w:ilvl w:val="0"/>
          <w:numId w:val="5"/>
        </w:numPr>
        <w:spacing w:before="120"/>
        <w:ind w:left="360"/>
        <w:rPr>
          <w:rFonts w:ascii="Segoe Pro" w:hAnsi="Segoe Pro"/>
        </w:rPr>
      </w:pPr>
      <w:r w:rsidRPr="00461740">
        <w:rPr>
          <w:rFonts w:ascii="Segoe Pro" w:hAnsi="Segoe Pro"/>
          <w:b/>
        </w:rPr>
        <w:t>By Microsoft.</w:t>
      </w:r>
      <w:r>
        <w:rPr>
          <w:rFonts w:ascii="Segoe Pro" w:hAnsi="Segoe Pro"/>
          <w:b/>
          <w:bCs w:val="0"/>
        </w:rPr>
        <w:t xml:space="preserve">  </w:t>
      </w:r>
      <w:r>
        <w:rPr>
          <w:rFonts w:ascii="Segoe Pro" w:hAnsi="Segoe Pro"/>
        </w:rPr>
        <w:t>Microsoft will comply with all applicable laws</w:t>
      </w:r>
      <w:r>
        <w:rPr>
          <w:rFonts w:ascii="Segoe Pro" w:hAnsi="Segoe Pro"/>
          <w:color w:val="auto"/>
        </w:rPr>
        <w:t xml:space="preserve"> and </w:t>
      </w:r>
      <w:r>
        <w:rPr>
          <w:rFonts w:ascii="Segoe Pro" w:hAnsi="Segoe Pro"/>
        </w:rPr>
        <w:t xml:space="preserve">regulations relating to the collection, treatment, recovery, recycling, disposal, and reuse of electrical and electronic equipment (“EEE”), batteries, software media, and packaging materials (“Environmental Laws”) in each country where Microsoft </w:t>
      </w:r>
      <w:r>
        <w:rPr>
          <w:rFonts w:ascii="Segoe Pro" w:hAnsi="Segoe Pro"/>
          <w:color w:val="auto"/>
        </w:rPr>
        <w:t>ships or delivers</w:t>
      </w:r>
      <w:r>
        <w:rPr>
          <w:rFonts w:ascii="Segoe Pro" w:hAnsi="Segoe Pro"/>
        </w:rPr>
        <w:t xml:space="preserve"> Hardware to Customer,</w:t>
      </w:r>
      <w:r w:rsidRPr="00880EAD">
        <w:rPr>
          <w:rFonts w:ascii="Segoe Pro" w:hAnsi="Segoe Pro"/>
        </w:rPr>
        <w:t xml:space="preserve"> </w:t>
      </w:r>
      <w:r>
        <w:rPr>
          <w:rFonts w:ascii="Segoe Pro" w:hAnsi="Segoe Pro"/>
        </w:rPr>
        <w:t xml:space="preserve">directly or through a Partner.  Subject to the conditions and limitations in the General Terms, Microsoft will defend Customer against any third-party claim to the extent it alleges that Microsoft failed to comply with any of these requirements in any such country. </w:t>
      </w:r>
    </w:p>
    <w:p w14:paraId="4A1E64E0" w14:textId="69E434B7" w:rsidR="00DD5962" w:rsidRPr="00BC3D6E" w:rsidRDefault="00DD5962" w:rsidP="00BC3D6E">
      <w:pPr>
        <w:pStyle w:val="mainbullet"/>
        <w:numPr>
          <w:ilvl w:val="0"/>
          <w:numId w:val="5"/>
        </w:numPr>
        <w:spacing w:before="120"/>
        <w:ind w:left="360"/>
        <w:rPr>
          <w:rFonts w:ascii="Segoe Pro" w:hAnsi="Segoe Pro"/>
        </w:rPr>
      </w:pPr>
      <w:r>
        <w:rPr>
          <w:rFonts w:ascii="Segoe Pro" w:hAnsi="Segoe Pro"/>
          <w:b/>
          <w:bCs w:val="0"/>
        </w:rPr>
        <w:t xml:space="preserve">By Customer.  </w:t>
      </w:r>
      <w:r>
        <w:rPr>
          <w:rFonts w:ascii="Segoe Pro" w:hAnsi="Segoe Pro"/>
        </w:rPr>
        <w:t xml:space="preserve">If Customer </w:t>
      </w:r>
      <w:r>
        <w:rPr>
          <w:rFonts w:ascii="Segoe Pro" w:hAnsi="Segoe Pro"/>
          <w:color w:val="auto"/>
        </w:rPr>
        <w:t xml:space="preserve">ships or delivers </w:t>
      </w:r>
      <w:r>
        <w:rPr>
          <w:rFonts w:ascii="Segoe Pro" w:hAnsi="Segoe Pro"/>
        </w:rPr>
        <w:t>Hardware outside of the country where Microsoft shipped or delivered it to Customer, Customer must comply with all applicable laws</w:t>
      </w:r>
      <w:r>
        <w:rPr>
          <w:rFonts w:ascii="Segoe Pro" w:hAnsi="Segoe Pro"/>
          <w:color w:val="auto"/>
        </w:rPr>
        <w:t xml:space="preserve"> and</w:t>
      </w:r>
      <w:r>
        <w:rPr>
          <w:rFonts w:ascii="Segoe Pro" w:hAnsi="Segoe Pro"/>
        </w:rPr>
        <w:t xml:space="preserve"> regulations relating to the collection, treatment, recovery, recycling, disposal, and reuse of electrical and electronic equipment (“EEE”), batteries, software media, and packaging materials in each such country.  Subject to the conditions and limitations in the General Terms, Customer will defend Microsoft and its Affiliates against any third-party claim to the extent it alleges Customer failed to comply with any of these requirements in any country where Customer </w:t>
      </w:r>
      <w:r>
        <w:rPr>
          <w:rFonts w:ascii="Segoe Pro" w:hAnsi="Segoe Pro"/>
          <w:color w:val="auto"/>
        </w:rPr>
        <w:t>ships or delivers</w:t>
      </w:r>
      <w:r>
        <w:rPr>
          <w:rFonts w:ascii="Segoe Pro" w:hAnsi="Segoe Pro"/>
        </w:rPr>
        <w:t xml:space="preserve"> Hardware.</w:t>
      </w:r>
    </w:p>
    <w:p w14:paraId="0B10C42A" w14:textId="77777777" w:rsidR="00DD5962" w:rsidRPr="00533D40" w:rsidRDefault="00DD5962" w:rsidP="00DD5962">
      <w:pPr>
        <w:pStyle w:val="mainbullet"/>
        <w:spacing w:before="120"/>
        <w:rPr>
          <w:rFonts w:ascii="Segoe Pro" w:hAnsi="Segoe Pro"/>
          <w:b/>
          <w:i/>
          <w:sz w:val="24"/>
        </w:rPr>
      </w:pPr>
      <w:r w:rsidRPr="00533D40">
        <w:rPr>
          <w:rFonts w:ascii="Segoe Pro" w:hAnsi="Segoe Pro"/>
          <w:b/>
          <w:i/>
          <w:sz w:val="24"/>
        </w:rPr>
        <w:t>Miscellaneous</w:t>
      </w:r>
    </w:p>
    <w:p w14:paraId="1D422A1F" w14:textId="77777777" w:rsidR="00DD5962" w:rsidRPr="009D7F9A" w:rsidRDefault="00DD5962" w:rsidP="00DD5962">
      <w:pPr>
        <w:pStyle w:val="mainbullet"/>
        <w:numPr>
          <w:ilvl w:val="0"/>
          <w:numId w:val="6"/>
        </w:numPr>
        <w:spacing w:before="120"/>
        <w:rPr>
          <w:rFonts w:ascii="Segoe Pro" w:hAnsi="Segoe Pro"/>
          <w:b/>
        </w:rPr>
      </w:pPr>
      <w:r w:rsidRPr="00533D40">
        <w:rPr>
          <w:rFonts w:ascii="Segoe Pro" w:hAnsi="Segoe Pro"/>
          <w:b/>
        </w:rPr>
        <w:t xml:space="preserve">US export.  </w:t>
      </w:r>
      <w:r w:rsidRPr="009D7F9A">
        <w:rPr>
          <w:rFonts w:ascii="Segoe Pro" w:hAnsi="Segoe Pro"/>
          <w:b/>
        </w:rPr>
        <w:t>The U.S. Export terms in the General Terms apply to Hardware.</w:t>
      </w:r>
    </w:p>
    <w:p w14:paraId="0E5696D8" w14:textId="77777777" w:rsidR="00DD5962" w:rsidRPr="009D7F9A" w:rsidRDefault="00DD5962" w:rsidP="00DD5962">
      <w:pPr>
        <w:pStyle w:val="mainbullet"/>
        <w:numPr>
          <w:ilvl w:val="0"/>
          <w:numId w:val="6"/>
        </w:numPr>
        <w:spacing w:before="120"/>
        <w:rPr>
          <w:rFonts w:ascii="Segoe Pro" w:hAnsi="Segoe Pro"/>
          <w:b/>
        </w:rPr>
      </w:pPr>
      <w:r w:rsidRPr="00533D40">
        <w:rPr>
          <w:rFonts w:ascii="Segoe Pro" w:hAnsi="Segoe Pro"/>
          <w:b/>
        </w:rPr>
        <w:lastRenderedPageBreak/>
        <w:t>Copyright levies in EU</w:t>
      </w:r>
      <w:r>
        <w:rPr>
          <w:rFonts w:ascii="Segoe Pro" w:hAnsi="Segoe Pro"/>
          <w:b/>
        </w:rPr>
        <w:t>.</w:t>
      </w:r>
      <w:r>
        <w:rPr>
          <w:rFonts w:ascii="Segoe Pro" w:hAnsi="Segoe Pro"/>
        </w:rPr>
        <w:t xml:space="preserve">  Hardware may be subject to EU/EFTA copyright levies pursuant to Article 5(2)(b) of Directive 2001/29/EC based on the product and delivery address. Customer must pay any required copyright levies, which will be added to the invoice for the order. </w:t>
      </w:r>
    </w:p>
    <w:p w14:paraId="0A8CCDAC" w14:textId="77777777" w:rsidR="00DD5962" w:rsidRPr="00DD5962" w:rsidRDefault="00DD5962" w:rsidP="00DD5962"/>
    <w:sectPr w:rsidR="00DD5962" w:rsidRPr="00DD5962" w:rsidSect="00BC3D6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08D5" w14:textId="77777777" w:rsidR="007B410A" w:rsidRDefault="007B410A" w:rsidP="00DD5962">
      <w:pPr>
        <w:spacing w:after="0" w:line="240" w:lineRule="auto"/>
      </w:pPr>
      <w:r>
        <w:separator/>
      </w:r>
    </w:p>
  </w:endnote>
  <w:endnote w:type="continuationSeparator" w:id="0">
    <w:p w14:paraId="2823229E" w14:textId="77777777" w:rsidR="007B410A" w:rsidRDefault="007B410A" w:rsidP="00DD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o">
    <w:altName w:val="Segoe UI Light"/>
    <w:charset w:val="00"/>
    <w:family w:val="swiss"/>
    <w:pitch w:val="variable"/>
    <w:sig w:usb0="00000001"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4A0" w:firstRow="1" w:lastRow="0" w:firstColumn="1" w:lastColumn="0" w:noHBand="0" w:noVBand="1"/>
    </w:tblPr>
    <w:tblGrid>
      <w:gridCol w:w="4871"/>
      <w:gridCol w:w="4489"/>
    </w:tblGrid>
    <w:tr w:rsidR="00BC3D6E" w:rsidRPr="000651DF" w14:paraId="2884BD34" w14:textId="77777777" w:rsidTr="00ED24C5">
      <w:trPr>
        <w:jc w:val="center"/>
      </w:trPr>
      <w:tc>
        <w:tcPr>
          <w:tcW w:w="4621" w:type="dxa"/>
        </w:tcPr>
        <w:p w14:paraId="570E48AF" w14:textId="18E79B1F" w:rsidR="00BC3D6E" w:rsidRPr="000651DF" w:rsidRDefault="00BC3D6E" w:rsidP="00BC3D6E">
          <w:pPr>
            <w:pStyle w:val="Footer"/>
            <w:rPr>
              <w:rFonts w:ascii="Segoe UI" w:hAnsi="Segoe UI" w:cs="Segoe UI"/>
              <w:sz w:val="16"/>
              <w:szCs w:val="16"/>
              <w:lang w:val="es-PE"/>
            </w:rPr>
          </w:pPr>
          <w:r w:rsidRPr="000651DF">
            <w:rPr>
              <w:rFonts w:ascii="Segoe UI" w:hAnsi="Segoe UI" w:cs="Segoe UI"/>
              <w:sz w:val="16"/>
              <w:szCs w:val="16"/>
              <w:lang w:val="es-PE"/>
            </w:rPr>
            <w:t>MicrosoftCustomerAgreementHardwareTerms(US)(ENG)(July2018)</w:t>
          </w:r>
        </w:p>
      </w:tc>
      <w:tc>
        <w:tcPr>
          <w:tcW w:w="4622" w:type="dxa"/>
        </w:tcPr>
        <w:p w14:paraId="648A4BA4" w14:textId="51BC9365" w:rsidR="00BC3D6E" w:rsidRPr="000651DF" w:rsidRDefault="00BC3D6E" w:rsidP="00BC3D6E">
          <w:pPr>
            <w:jc w:val="right"/>
            <w:rPr>
              <w:rFonts w:ascii="Segoe UI" w:hAnsi="Segoe UI" w:cs="Segoe UI"/>
              <w:sz w:val="16"/>
              <w:szCs w:val="16"/>
            </w:rPr>
          </w:pPr>
          <w:r w:rsidRPr="000651DF">
            <w:rPr>
              <w:rFonts w:ascii="Segoe UI" w:hAnsi="Segoe UI" w:cs="Segoe UI"/>
              <w:sz w:val="16"/>
              <w:szCs w:val="16"/>
            </w:rPr>
            <w:t xml:space="preserve">Page </w:t>
          </w:r>
          <w:r w:rsidRPr="000651DF">
            <w:rPr>
              <w:rFonts w:ascii="Segoe UI" w:hAnsi="Segoe UI" w:cs="Segoe UI"/>
              <w:sz w:val="16"/>
              <w:szCs w:val="16"/>
            </w:rPr>
            <w:fldChar w:fldCharType="begin"/>
          </w:r>
          <w:r w:rsidRPr="000651DF">
            <w:rPr>
              <w:rFonts w:ascii="Segoe UI" w:hAnsi="Segoe UI" w:cs="Segoe UI"/>
              <w:sz w:val="16"/>
              <w:szCs w:val="16"/>
            </w:rPr>
            <w:instrText xml:space="preserve"> PAGE </w:instrText>
          </w:r>
          <w:r w:rsidRPr="000651DF">
            <w:rPr>
              <w:rFonts w:ascii="Segoe UI" w:hAnsi="Segoe UI" w:cs="Segoe UI"/>
              <w:sz w:val="16"/>
              <w:szCs w:val="16"/>
            </w:rPr>
            <w:fldChar w:fldCharType="separate"/>
          </w:r>
          <w:r w:rsidRPr="000651DF">
            <w:rPr>
              <w:rFonts w:ascii="Segoe UI" w:hAnsi="Segoe UI" w:cs="Segoe UI"/>
              <w:noProof/>
              <w:sz w:val="16"/>
              <w:szCs w:val="16"/>
            </w:rPr>
            <w:t>1</w:t>
          </w:r>
          <w:r w:rsidRPr="000651DF">
            <w:rPr>
              <w:rFonts w:ascii="Segoe UI" w:hAnsi="Segoe UI" w:cs="Segoe UI"/>
              <w:sz w:val="16"/>
              <w:szCs w:val="16"/>
            </w:rPr>
            <w:fldChar w:fldCharType="end"/>
          </w:r>
          <w:r w:rsidRPr="000651DF">
            <w:rPr>
              <w:rFonts w:ascii="Segoe UI" w:hAnsi="Segoe UI" w:cs="Segoe UI"/>
              <w:sz w:val="16"/>
              <w:szCs w:val="16"/>
            </w:rPr>
            <w:t xml:space="preserve"> of </w:t>
          </w:r>
          <w:r w:rsidRPr="000651DF">
            <w:rPr>
              <w:rFonts w:ascii="Segoe UI" w:hAnsi="Segoe UI" w:cs="Segoe UI"/>
              <w:sz w:val="16"/>
              <w:szCs w:val="16"/>
            </w:rPr>
            <w:fldChar w:fldCharType="begin"/>
          </w:r>
          <w:r w:rsidRPr="000651DF">
            <w:rPr>
              <w:rFonts w:ascii="Segoe UI" w:hAnsi="Segoe UI" w:cs="Segoe UI"/>
              <w:sz w:val="16"/>
              <w:szCs w:val="16"/>
            </w:rPr>
            <w:instrText xml:space="preserve"> NUMPAGES  </w:instrText>
          </w:r>
          <w:r w:rsidRPr="000651DF">
            <w:rPr>
              <w:rFonts w:ascii="Segoe UI" w:hAnsi="Segoe UI" w:cs="Segoe UI"/>
              <w:sz w:val="16"/>
              <w:szCs w:val="16"/>
            </w:rPr>
            <w:fldChar w:fldCharType="separate"/>
          </w:r>
          <w:r w:rsidRPr="000651DF">
            <w:rPr>
              <w:rFonts w:ascii="Segoe UI" w:hAnsi="Segoe UI" w:cs="Segoe UI"/>
              <w:noProof/>
              <w:sz w:val="16"/>
              <w:szCs w:val="16"/>
            </w:rPr>
            <w:t>14</w:t>
          </w:r>
          <w:r w:rsidRPr="000651DF">
            <w:rPr>
              <w:rFonts w:ascii="Segoe UI" w:hAnsi="Segoe UI" w:cs="Segoe UI"/>
              <w:sz w:val="16"/>
              <w:szCs w:val="16"/>
            </w:rPr>
            <w:fldChar w:fldCharType="end"/>
          </w:r>
        </w:p>
      </w:tc>
    </w:tr>
  </w:tbl>
  <w:p w14:paraId="2CC976CE" w14:textId="77777777" w:rsidR="00BC3D6E" w:rsidRDefault="00BC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DFF92" w14:textId="77777777" w:rsidR="007B410A" w:rsidRDefault="007B410A" w:rsidP="00DD5962">
      <w:pPr>
        <w:spacing w:after="0" w:line="240" w:lineRule="auto"/>
      </w:pPr>
      <w:r>
        <w:separator/>
      </w:r>
    </w:p>
  </w:footnote>
  <w:footnote w:type="continuationSeparator" w:id="0">
    <w:p w14:paraId="1C9B9E1C" w14:textId="77777777" w:rsidR="007B410A" w:rsidRDefault="007B410A" w:rsidP="00DD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19"/>
      <w:gridCol w:w="4819"/>
    </w:tblGrid>
    <w:tr w:rsidR="00DD5962" w:rsidRPr="000651DF" w14:paraId="5EF28CC5" w14:textId="77777777" w:rsidTr="000651DF">
      <w:tc>
        <w:tcPr>
          <w:tcW w:w="4819" w:type="dxa"/>
          <w:shd w:val="clear" w:color="auto" w:fill="auto"/>
        </w:tcPr>
        <w:p w14:paraId="071CD401" w14:textId="1F220C89" w:rsidR="00DD5962" w:rsidRPr="000651DF" w:rsidRDefault="007B410A" w:rsidP="000651DF">
          <w:pPr>
            <w:pStyle w:val="Header"/>
            <w:jc w:val="both"/>
            <w:rPr>
              <w:rFonts w:ascii="Arial" w:hAnsi="Arial"/>
              <w:sz w:val="20"/>
              <w:szCs w:val="20"/>
            </w:rPr>
          </w:pPr>
          <w:r>
            <w:rPr>
              <w:noProof/>
            </w:rPr>
            <w:pict w14:anchorId="61FF6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7pt;margin-top:.3pt;width:116.45pt;height:26.7pt;z-index: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v:imagedata r:id="rId1" o:title=""/>
                <w10:wrap anchory="page"/>
              </v:shape>
            </w:pict>
          </w:r>
        </w:p>
      </w:tc>
      <w:tc>
        <w:tcPr>
          <w:tcW w:w="4819" w:type="dxa"/>
          <w:shd w:val="clear" w:color="auto" w:fill="auto"/>
        </w:tcPr>
        <w:p w14:paraId="77FDCEC6" w14:textId="77777777" w:rsidR="00DD5962" w:rsidRPr="000651DF" w:rsidRDefault="00DD5962" w:rsidP="000651DF">
          <w:pPr>
            <w:pStyle w:val="Header"/>
            <w:jc w:val="both"/>
            <w:rPr>
              <w:rFonts w:ascii="Arial" w:hAnsi="Arial"/>
              <w:sz w:val="20"/>
              <w:szCs w:val="20"/>
            </w:rPr>
          </w:pPr>
        </w:p>
      </w:tc>
    </w:tr>
  </w:tbl>
  <w:p w14:paraId="1A0F51BD" w14:textId="77777777" w:rsidR="00DD5962" w:rsidRPr="00DD5962" w:rsidRDefault="00DD5962" w:rsidP="00DD5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6236"/>
    <w:multiLevelType w:val="hybridMultilevel"/>
    <w:tmpl w:val="D8DACA74"/>
    <w:lvl w:ilvl="0" w:tplc="1BD664FA">
      <w:start w:val="1"/>
      <w:numFmt w:val="lowerLetter"/>
      <w:lvlText w:val="%1."/>
      <w:lvlJc w:val="left"/>
      <w:pPr>
        <w:ind w:left="360" w:hanging="360"/>
      </w:pPr>
      <w:rPr>
        <w:rFonts w:hint="default"/>
        <w:b/>
      </w:rPr>
    </w:lvl>
    <w:lvl w:ilvl="1" w:tplc="F91423AA">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D36648"/>
    <w:multiLevelType w:val="hybridMultilevel"/>
    <w:tmpl w:val="39747D26"/>
    <w:lvl w:ilvl="0" w:tplc="1BD664F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F0727"/>
    <w:multiLevelType w:val="hybridMultilevel"/>
    <w:tmpl w:val="65480A88"/>
    <w:lvl w:ilvl="0" w:tplc="46F0CAE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7B3FDD"/>
    <w:multiLevelType w:val="hybridMultilevel"/>
    <w:tmpl w:val="F432C32E"/>
    <w:lvl w:ilvl="0" w:tplc="825EE0F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1851C4"/>
    <w:multiLevelType w:val="hybridMultilevel"/>
    <w:tmpl w:val="95C2A2A6"/>
    <w:lvl w:ilvl="0" w:tplc="6C9C2CC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2B15B4"/>
    <w:multiLevelType w:val="hybridMultilevel"/>
    <w:tmpl w:val="88940C4E"/>
    <w:lvl w:ilvl="0" w:tplc="A6AC90C8">
      <w:start w:val="1"/>
      <w:numFmt w:val="low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ocumentProtection w:edit="readOnly" w:enforcement="1" w:cryptProviderType="rsaAES" w:cryptAlgorithmClass="hash" w:cryptAlgorithmType="typeAny" w:cryptAlgorithmSid="14" w:cryptSpinCount="100000" w:hash="K1+dSYtuD2d89BPXTWFGmhGkhotDXao7pnC1jiPwgnmqANVPVYAEmEPj+l8VrdQqnZ47B1ptK4gB0DcRYjTfpw==" w:salt="59/PMjSptdOHv9z5OgSrW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962"/>
    <w:rsid w:val="000651DF"/>
    <w:rsid w:val="003D698B"/>
    <w:rsid w:val="007B410A"/>
    <w:rsid w:val="008900A0"/>
    <w:rsid w:val="00BC3D6E"/>
    <w:rsid w:val="00DD5962"/>
    <w:rsid w:val="00E35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C6E34E"/>
  <w15:chartTrackingRefBased/>
  <w15:docId w15:val="{D2C37378-8F93-47EA-8562-179E3C20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962"/>
  </w:style>
  <w:style w:type="paragraph" w:styleId="Footer">
    <w:name w:val="footer"/>
    <w:basedOn w:val="Normal"/>
    <w:link w:val="FooterChar"/>
    <w:uiPriority w:val="99"/>
    <w:unhideWhenUsed/>
    <w:rsid w:val="00DD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962"/>
  </w:style>
  <w:style w:type="table" w:styleId="TableGrid">
    <w:name w:val="Table Grid"/>
    <w:basedOn w:val="TableNormal"/>
    <w:uiPriority w:val="59"/>
    <w:rsid w:val="00DD5962"/>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D5962"/>
    <w:pPr>
      <w:spacing w:before="120" w:after="0" w:line="240" w:lineRule="auto"/>
      <w:ind w:left="720"/>
      <w:contextualSpacing/>
      <w:jc w:val="both"/>
    </w:pPr>
    <w:rPr>
      <w:rFonts w:ascii="Arial" w:hAnsi="Arial"/>
      <w:color w:val="000000"/>
      <w:sz w:val="20"/>
      <w:szCs w:val="20"/>
    </w:rPr>
  </w:style>
  <w:style w:type="character" w:customStyle="1" w:styleId="ListParagraphChar">
    <w:name w:val="List Paragraph Char"/>
    <w:link w:val="ListParagraph"/>
    <w:uiPriority w:val="34"/>
    <w:rsid w:val="00DD5962"/>
    <w:rPr>
      <w:rFonts w:ascii="Arial" w:hAnsi="Arial" w:cs="Arial"/>
      <w:color w:val="000000"/>
      <w:sz w:val="20"/>
      <w:szCs w:val="20"/>
    </w:rPr>
  </w:style>
  <w:style w:type="paragraph" w:customStyle="1" w:styleId="startingparagraph">
    <w:name w:val="starting paragraph"/>
    <w:basedOn w:val="ListParagraph"/>
    <w:link w:val="startingparagraphChar"/>
    <w:qFormat/>
    <w:rsid w:val="00DD5962"/>
    <w:pPr>
      <w:keepNext/>
      <w:spacing w:before="60" w:line="216" w:lineRule="auto"/>
      <w:ind w:left="360"/>
      <w:contextualSpacing w:val="0"/>
      <w:jc w:val="left"/>
    </w:pPr>
  </w:style>
  <w:style w:type="character" w:customStyle="1" w:styleId="startingparagraphChar">
    <w:name w:val="starting paragraph Char"/>
    <w:link w:val="startingparagraph"/>
    <w:rsid w:val="00DD5962"/>
    <w:rPr>
      <w:rFonts w:ascii="Arial" w:hAnsi="Arial" w:cs="Arial"/>
      <w:color w:val="000000"/>
      <w:sz w:val="20"/>
      <w:szCs w:val="20"/>
    </w:rPr>
  </w:style>
  <w:style w:type="paragraph" w:customStyle="1" w:styleId="HeadingsMPSA">
    <w:name w:val="Headings MPSA"/>
    <w:basedOn w:val="ListParagraph"/>
    <w:link w:val="HeadingsMPSAChar"/>
    <w:qFormat/>
    <w:rsid w:val="00DD5962"/>
    <w:pPr>
      <w:keepNext/>
      <w:spacing w:before="60" w:line="216" w:lineRule="auto"/>
      <w:ind w:left="0"/>
      <w:contextualSpacing w:val="0"/>
      <w:jc w:val="left"/>
    </w:pPr>
    <w:rPr>
      <w:b/>
      <w:bCs/>
      <w:i/>
      <w:iCs/>
      <w:sz w:val="24"/>
      <w:szCs w:val="26"/>
    </w:rPr>
  </w:style>
  <w:style w:type="character" w:customStyle="1" w:styleId="HeadingsMPSAChar">
    <w:name w:val="Headings MPSA Char"/>
    <w:link w:val="HeadingsMPSA"/>
    <w:rsid w:val="00DD5962"/>
    <w:rPr>
      <w:rFonts w:ascii="Arial" w:hAnsi="Arial" w:cs="Arial"/>
      <w:b/>
      <w:bCs/>
      <w:i/>
      <w:iCs/>
      <w:color w:val="000000"/>
      <w:sz w:val="24"/>
      <w:szCs w:val="26"/>
    </w:rPr>
  </w:style>
  <w:style w:type="paragraph" w:customStyle="1" w:styleId="mainbullet">
    <w:name w:val="main bullet"/>
    <w:basedOn w:val="ListParagraph"/>
    <w:link w:val="mainbulletChar"/>
    <w:qFormat/>
    <w:rsid w:val="00DD5962"/>
    <w:pPr>
      <w:spacing w:before="60" w:line="216" w:lineRule="auto"/>
      <w:ind w:left="0"/>
      <w:contextualSpacing w:val="0"/>
      <w:jc w:val="left"/>
    </w:pPr>
    <w:rPr>
      <w:bCs/>
    </w:rPr>
  </w:style>
  <w:style w:type="character" w:customStyle="1" w:styleId="mainbulletChar">
    <w:name w:val="main bullet Char"/>
    <w:link w:val="mainbullet"/>
    <w:rsid w:val="00DD5962"/>
    <w:rPr>
      <w:rFonts w:ascii="Arial" w:hAnsi="Arial" w:cs="Arial"/>
      <w:bCs/>
      <w:color w:val="000000"/>
      <w:sz w:val="20"/>
      <w:szCs w:val="20"/>
    </w:rPr>
  </w:style>
  <w:style w:type="character" w:styleId="Hyperlink">
    <w:name w:val="Hyperlink"/>
    <w:unhideWhenUsed/>
    <w:rsid w:val="00DD5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crosoft.com/surface/warra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1127</Words>
  <Characters>6426</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Mauermann</dc:creator>
  <cp:keywords/>
  <dc:description/>
  <cp:lastModifiedBy>Mark Mauermann</cp:lastModifiedBy>
  <cp:revision>5</cp:revision>
  <dcterms:created xsi:type="dcterms:W3CDTF">2018-06-29T17:25:00Z</dcterms:created>
  <dcterms:modified xsi:type="dcterms:W3CDTF">2018-06-29T17:39:00Z</dcterms:modified>
</cp:coreProperties>
</file>