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C6" w:rsidRPr="002B76B2" w:rsidRDefault="00D63A7B" w:rsidP="00627D84">
      <w:pPr>
        <w:rPr>
          <w:rFonts w:ascii="Calibri" w:hAnsi="Calibri" w:cs="Calibri"/>
          <w:b/>
          <w:sz w:val="28"/>
          <w:szCs w:val="28"/>
          <w:lang w:val="pt-BR"/>
        </w:rPr>
      </w:pPr>
      <w:bookmarkStart w:id="0" w:name="_GoBack"/>
      <w:bookmarkEnd w:id="0"/>
      <w:r w:rsidRPr="002B76B2">
        <w:rPr>
          <w:rFonts w:ascii="Calibri" w:hAnsi="Calibri"/>
          <w:b/>
          <w:sz w:val="28"/>
          <w:lang w:val="pt-PT"/>
        </w:rPr>
        <w:t>Contrato de Nível de Serviço para os Serviços Online da Microsoft</w:t>
      </w:r>
    </w:p>
    <w:p w:rsidR="00296A78" w:rsidRPr="002B76B2" w:rsidRDefault="00296A78" w:rsidP="00627D84">
      <w:pPr>
        <w:rPr>
          <w:rFonts w:ascii="Calibri" w:hAnsi="Calibri" w:cs="Calibri"/>
          <w:b/>
          <w:sz w:val="12"/>
          <w:szCs w:val="12"/>
          <w:lang w:val="pt-BR"/>
        </w:rPr>
      </w:pPr>
    </w:p>
    <w:p w:rsidR="003D00A5" w:rsidRPr="002B76B2" w:rsidRDefault="003D00A5" w:rsidP="00627D84">
      <w:pPr>
        <w:rPr>
          <w:rFonts w:ascii="Calibri" w:hAnsi="Calibri" w:cs="Calibri"/>
          <w:sz w:val="12"/>
          <w:szCs w:val="12"/>
          <w:lang w:val="pt-BR"/>
        </w:rPr>
      </w:pPr>
    </w:p>
    <w:p w:rsidR="009A33A3" w:rsidRPr="002B76B2" w:rsidRDefault="00D63A7B" w:rsidP="008B6DB5">
      <w:pPr>
        <w:suppressAutoHyphens w:val="0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Última atualização:</w:t>
      </w:r>
      <w:r w:rsidR="000D77E2" w:rsidRPr="002B76B2">
        <w:rPr>
          <w:rFonts w:ascii="Calibri" w:hAnsi="Calibri" w:cs="Calibri"/>
          <w:sz w:val="22"/>
          <w:szCs w:val="22"/>
          <w:lang w:val="pt-BR"/>
        </w:rPr>
        <w:t xml:space="preserve"> </w:t>
      </w:r>
      <w:r w:rsidRPr="002B76B2">
        <w:rPr>
          <w:rFonts w:ascii="Calibri" w:hAnsi="Calibri"/>
          <w:sz w:val="22"/>
          <w:lang w:val="pt-PT"/>
        </w:rPr>
        <w:t>1 de outubro de 2011</w:t>
      </w:r>
    </w:p>
    <w:p w:rsidR="00EB41CA" w:rsidRPr="002B76B2" w:rsidRDefault="00EB41CA" w:rsidP="00627D84">
      <w:pPr>
        <w:rPr>
          <w:rFonts w:ascii="Calibri" w:hAnsi="Calibri" w:cs="Calibri"/>
          <w:sz w:val="12"/>
          <w:szCs w:val="12"/>
          <w:lang w:val="pt-BR"/>
        </w:rPr>
      </w:pPr>
    </w:p>
    <w:p w:rsidR="003058C6" w:rsidRPr="002B76B2" w:rsidRDefault="00D63A7B" w:rsidP="00B23CDE">
      <w:pPr>
        <w:pStyle w:val="ListParagraph"/>
        <w:numPr>
          <w:ilvl w:val="0"/>
          <w:numId w:val="7"/>
        </w:numPr>
        <w:tabs>
          <w:tab w:val="left" w:pos="-90"/>
          <w:tab w:val="left" w:pos="0"/>
        </w:tabs>
        <w:jc w:val="both"/>
        <w:rPr>
          <w:rFonts w:ascii="Calibri" w:hAnsi="Calibri" w:cs="Calibri"/>
          <w:b/>
          <w:sz w:val="22"/>
          <w:szCs w:val="22"/>
        </w:rPr>
      </w:pPr>
      <w:r w:rsidRPr="002B76B2">
        <w:rPr>
          <w:rFonts w:ascii="Calibri" w:hAnsi="Calibri"/>
          <w:b/>
          <w:sz w:val="22"/>
          <w:u w:val="single"/>
          <w:lang w:val="pt-PT"/>
        </w:rPr>
        <w:t>Introdução</w:t>
      </w:r>
      <w:r w:rsidRPr="002B76B2">
        <w:rPr>
          <w:rFonts w:ascii="Calibri" w:hAnsi="Calibri"/>
          <w:b/>
          <w:sz w:val="22"/>
          <w:lang w:val="pt-PT"/>
        </w:rPr>
        <w:t>.</w:t>
      </w:r>
    </w:p>
    <w:p w:rsidR="00C85BB8" w:rsidRPr="002B76B2" w:rsidRDefault="00C85BB8" w:rsidP="00627D84">
      <w:pPr>
        <w:tabs>
          <w:tab w:val="left" w:pos="-90"/>
          <w:tab w:val="left" w:pos="0"/>
        </w:tabs>
        <w:jc w:val="both"/>
        <w:rPr>
          <w:rFonts w:ascii="Calibri" w:hAnsi="Calibri" w:cs="Calibri"/>
          <w:b/>
          <w:sz w:val="12"/>
          <w:szCs w:val="12"/>
        </w:rPr>
      </w:pPr>
    </w:p>
    <w:p w:rsidR="00C85BB8" w:rsidRPr="002B76B2" w:rsidRDefault="00D63A7B" w:rsidP="0007708B">
      <w:pPr>
        <w:jc w:val="both"/>
        <w:rPr>
          <w:rFonts w:ascii="Calibri" w:hAnsi="Calibri" w:cs="Calibri"/>
          <w:sz w:val="22"/>
          <w:szCs w:val="22"/>
        </w:rPr>
      </w:pPr>
      <w:r w:rsidRPr="002B76B2">
        <w:rPr>
          <w:rFonts w:ascii="Calibri" w:hAnsi="Calibri"/>
          <w:sz w:val="22"/>
          <w:lang w:val="pt-PT"/>
        </w:rPr>
        <w:t xml:space="preserve">Este Contrato de Nível de Serviço para os Serviços Online da Microsoft (este </w:t>
      </w:r>
      <w:r w:rsidR="002B76B2">
        <w:rPr>
          <w:rFonts w:ascii="Calibri" w:hAnsi="Calibri"/>
          <w:sz w:val="22"/>
          <w:lang w:val="pt-PT"/>
        </w:rPr>
        <w:t>“</w:t>
      </w:r>
      <w:r w:rsidRPr="002B76B2">
        <w:rPr>
          <w:rFonts w:ascii="Calibri" w:hAnsi="Calibri"/>
          <w:sz w:val="22"/>
          <w:u w:val="single"/>
          <w:lang w:val="pt-PT"/>
        </w:rPr>
        <w:t>SLA</w:t>
      </w:r>
      <w:r w:rsidR="002B76B2">
        <w:rPr>
          <w:rFonts w:ascii="Calibri" w:hAnsi="Calibri"/>
          <w:sz w:val="22"/>
          <w:lang w:val="pt-PT"/>
        </w:rPr>
        <w:t>”</w:t>
      </w:r>
      <w:r w:rsidRPr="002B76B2">
        <w:rPr>
          <w:rFonts w:ascii="Calibri" w:hAnsi="Calibri"/>
          <w:sz w:val="22"/>
          <w:lang w:val="pt-PT"/>
        </w:rPr>
        <w:t xml:space="preserve">) foi criado pela Microsoft em conjunto e como parte integrante do seu contrato de licenciamento em volume da Microsoft (o </w:t>
      </w:r>
      <w:r w:rsidR="002B76B2">
        <w:rPr>
          <w:rFonts w:ascii="Calibri" w:hAnsi="Calibri"/>
          <w:sz w:val="22"/>
          <w:lang w:val="pt-PT"/>
        </w:rPr>
        <w:t>“</w:t>
      </w:r>
      <w:r w:rsidRPr="002B76B2">
        <w:rPr>
          <w:rFonts w:ascii="Calibri" w:hAnsi="Calibri"/>
          <w:sz w:val="22"/>
          <w:u w:val="single"/>
          <w:lang w:val="pt-PT"/>
        </w:rPr>
        <w:t>Contrato</w:t>
      </w:r>
      <w:r w:rsidR="002B76B2">
        <w:rPr>
          <w:rFonts w:ascii="Calibri" w:hAnsi="Calibri"/>
          <w:sz w:val="22"/>
          <w:lang w:val="pt-PT"/>
        </w:rPr>
        <w:t>”</w:t>
      </w:r>
      <w:r w:rsidRPr="002B76B2">
        <w:rPr>
          <w:rFonts w:ascii="Calibri" w:hAnsi="Calibri"/>
          <w:sz w:val="22"/>
          <w:lang w:val="pt-PT"/>
        </w:rPr>
        <w:t>).</w:t>
      </w:r>
      <w:r w:rsidR="009A174E" w:rsidRPr="002B76B2">
        <w:rPr>
          <w:rFonts w:ascii="Calibri" w:hAnsi="Calibri" w:cs="Calibri"/>
          <w:sz w:val="22"/>
          <w:szCs w:val="22"/>
          <w:lang w:val="pt-BR"/>
        </w:rPr>
        <w:t xml:space="preserve"> </w:t>
      </w:r>
      <w:r w:rsidRPr="002B76B2">
        <w:rPr>
          <w:rFonts w:ascii="Calibri" w:hAnsi="Calibri"/>
          <w:sz w:val="22"/>
          <w:lang w:val="pt-PT"/>
        </w:rPr>
        <w:t>Este SLA aplica-se aos seguintes Serviços da Microsoft:</w:t>
      </w:r>
    </w:p>
    <w:p w:rsidR="00C85BB8" w:rsidRPr="002B76B2" w:rsidRDefault="00C85BB8" w:rsidP="00627D84">
      <w:pPr>
        <w:tabs>
          <w:tab w:val="left" w:pos="-90"/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F24CA5" w:rsidRPr="002B76B2" w:rsidRDefault="00F24CA5" w:rsidP="00A46BB4">
      <w:pPr>
        <w:pStyle w:val="productlist"/>
        <w:spacing w:after="60" w:line="240" w:lineRule="auto"/>
        <w:ind w:left="0"/>
        <w:rPr>
          <w:rFonts w:ascii="Calibri" w:hAnsi="Calibri" w:cs="Calibri"/>
          <w:sz w:val="22"/>
          <w:szCs w:val="22"/>
        </w:rPr>
        <w:sectPr w:rsidR="00F24CA5" w:rsidRPr="002B76B2" w:rsidSect="00E775E5"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C85BB8" w:rsidRPr="002B76B2" w:rsidRDefault="004703C4" w:rsidP="00B84EE1">
      <w:pPr>
        <w:pStyle w:val="productlist"/>
        <w:numPr>
          <w:ilvl w:val="0"/>
          <w:numId w:val="9"/>
        </w:numPr>
        <w:tabs>
          <w:tab w:val="left" w:pos="837"/>
        </w:tabs>
        <w:spacing w:after="60" w:line="240" w:lineRule="auto"/>
        <w:rPr>
          <w:rFonts w:ascii="Calibri" w:hAnsi="Calibri" w:cs="Calibri"/>
          <w:sz w:val="22"/>
          <w:szCs w:val="22"/>
        </w:rPr>
      </w:pPr>
      <w:r w:rsidRPr="002B76B2">
        <w:rPr>
          <w:rFonts w:ascii="Calibri" w:hAnsi="Calibri"/>
          <w:sz w:val="22"/>
          <w:lang w:val="pt-PT"/>
        </w:rPr>
        <w:lastRenderedPageBreak/>
        <w:t>Dynamics CRM Online</w:t>
      </w:r>
    </w:p>
    <w:p w:rsidR="007538C3" w:rsidRPr="002B76B2" w:rsidRDefault="004703C4" w:rsidP="00B84EE1">
      <w:pPr>
        <w:pStyle w:val="productlist"/>
        <w:numPr>
          <w:ilvl w:val="0"/>
          <w:numId w:val="9"/>
        </w:numPr>
        <w:tabs>
          <w:tab w:val="left" w:pos="837"/>
        </w:tabs>
        <w:spacing w:after="60" w:line="240" w:lineRule="auto"/>
        <w:rPr>
          <w:rFonts w:ascii="Calibri" w:hAnsi="Calibri" w:cs="Calibri"/>
          <w:sz w:val="22"/>
          <w:szCs w:val="22"/>
        </w:rPr>
      </w:pPr>
      <w:r w:rsidRPr="002B76B2">
        <w:rPr>
          <w:rFonts w:ascii="Calibri" w:hAnsi="Calibri"/>
          <w:sz w:val="22"/>
          <w:lang w:val="pt-PT"/>
        </w:rPr>
        <w:t>Arquivo de Exchange Online</w:t>
      </w:r>
    </w:p>
    <w:p w:rsidR="00C85BB8" w:rsidRPr="002B76B2" w:rsidRDefault="004703C4" w:rsidP="00B84EE1">
      <w:pPr>
        <w:pStyle w:val="productlist"/>
        <w:numPr>
          <w:ilvl w:val="0"/>
          <w:numId w:val="9"/>
        </w:numPr>
        <w:tabs>
          <w:tab w:val="left" w:pos="837"/>
        </w:tabs>
        <w:spacing w:after="60" w:line="240" w:lineRule="auto"/>
        <w:rPr>
          <w:rFonts w:ascii="Calibri" w:hAnsi="Calibri" w:cs="Calibri"/>
          <w:sz w:val="22"/>
          <w:szCs w:val="22"/>
        </w:rPr>
      </w:pPr>
      <w:r w:rsidRPr="002B76B2">
        <w:rPr>
          <w:rFonts w:ascii="Calibri" w:hAnsi="Calibri"/>
          <w:sz w:val="22"/>
          <w:lang w:val="pt-PT"/>
        </w:rPr>
        <w:t>Exchange Online</w:t>
      </w:r>
    </w:p>
    <w:p w:rsidR="00C85BB8" w:rsidRPr="002B76B2" w:rsidRDefault="004703C4" w:rsidP="00F56884">
      <w:pPr>
        <w:pStyle w:val="productlist"/>
        <w:numPr>
          <w:ilvl w:val="0"/>
          <w:numId w:val="9"/>
        </w:numPr>
        <w:tabs>
          <w:tab w:val="left" w:pos="837"/>
        </w:tabs>
        <w:spacing w:after="60" w:line="240" w:lineRule="auto"/>
        <w:rPr>
          <w:rFonts w:ascii="Calibri" w:hAnsi="Calibri" w:cs="Calibri"/>
          <w:sz w:val="22"/>
          <w:szCs w:val="22"/>
        </w:rPr>
      </w:pPr>
      <w:r w:rsidRPr="002B76B2">
        <w:rPr>
          <w:rFonts w:ascii="Calibri" w:hAnsi="Calibri"/>
          <w:sz w:val="22"/>
          <w:lang w:val="pt-PT"/>
        </w:rPr>
        <w:t>Forefront Online Protection for Exchange</w:t>
      </w:r>
    </w:p>
    <w:p w:rsidR="0053605C" w:rsidRPr="002B76B2" w:rsidRDefault="004703C4" w:rsidP="00F56884">
      <w:pPr>
        <w:pStyle w:val="productlist"/>
        <w:numPr>
          <w:ilvl w:val="0"/>
          <w:numId w:val="9"/>
        </w:numPr>
        <w:tabs>
          <w:tab w:val="left" w:pos="837"/>
        </w:tabs>
        <w:spacing w:after="60" w:line="240" w:lineRule="auto"/>
        <w:rPr>
          <w:rFonts w:ascii="Calibri" w:hAnsi="Calibri" w:cs="Calibri"/>
          <w:sz w:val="22"/>
          <w:szCs w:val="22"/>
        </w:rPr>
      </w:pPr>
      <w:r w:rsidRPr="002B76B2">
        <w:rPr>
          <w:rFonts w:ascii="Calibri" w:hAnsi="Calibri"/>
          <w:sz w:val="22"/>
          <w:lang w:val="pt-PT"/>
        </w:rPr>
        <w:lastRenderedPageBreak/>
        <w:t>Lync</w:t>
      </w:r>
      <w:r w:rsidR="000D77E2" w:rsidRPr="002B76B2">
        <w:rPr>
          <w:rFonts w:ascii="Calibri" w:hAnsi="Calibri"/>
          <w:sz w:val="22"/>
          <w:lang w:val="pt-PT"/>
        </w:rPr>
        <w:t xml:space="preserve"> </w:t>
      </w:r>
      <w:r w:rsidRPr="002B76B2">
        <w:rPr>
          <w:rFonts w:ascii="Calibri" w:hAnsi="Calibri"/>
          <w:sz w:val="22"/>
          <w:lang w:val="pt-PT"/>
        </w:rPr>
        <w:t>Online</w:t>
      </w:r>
    </w:p>
    <w:p w:rsidR="00BC6AA1" w:rsidRPr="002B76B2" w:rsidRDefault="004703C4" w:rsidP="00F56884">
      <w:pPr>
        <w:pStyle w:val="productlist"/>
        <w:numPr>
          <w:ilvl w:val="0"/>
          <w:numId w:val="9"/>
        </w:numPr>
        <w:tabs>
          <w:tab w:val="left" w:pos="837"/>
        </w:tabs>
        <w:spacing w:after="60" w:line="240" w:lineRule="auto"/>
        <w:rPr>
          <w:rFonts w:ascii="Calibri" w:hAnsi="Calibri" w:cs="Calibri"/>
          <w:sz w:val="22"/>
          <w:szCs w:val="22"/>
        </w:rPr>
      </w:pPr>
      <w:r w:rsidRPr="002B76B2">
        <w:rPr>
          <w:rFonts w:ascii="Calibri" w:hAnsi="Calibri"/>
          <w:sz w:val="22"/>
          <w:lang w:val="pt-PT"/>
        </w:rPr>
        <w:t>Office Web Applications</w:t>
      </w:r>
    </w:p>
    <w:p w:rsidR="00C85BB8" w:rsidRPr="002B76B2" w:rsidRDefault="004703C4" w:rsidP="00F56884">
      <w:pPr>
        <w:pStyle w:val="productlist"/>
        <w:numPr>
          <w:ilvl w:val="0"/>
          <w:numId w:val="9"/>
        </w:numPr>
        <w:tabs>
          <w:tab w:val="left" w:pos="837"/>
        </w:tabs>
        <w:spacing w:after="60" w:line="240" w:lineRule="auto"/>
        <w:rPr>
          <w:rFonts w:ascii="Calibri" w:hAnsi="Calibri" w:cs="Calibri"/>
          <w:sz w:val="22"/>
          <w:szCs w:val="22"/>
        </w:rPr>
      </w:pPr>
      <w:r w:rsidRPr="002B76B2">
        <w:rPr>
          <w:rFonts w:ascii="Calibri" w:hAnsi="Calibri"/>
          <w:sz w:val="22"/>
          <w:lang w:val="pt-PT"/>
        </w:rPr>
        <w:t>SharePoint Online</w:t>
      </w:r>
    </w:p>
    <w:p w:rsidR="00C85BB8" w:rsidRPr="002B76B2" w:rsidRDefault="004703C4" w:rsidP="00F56884">
      <w:pPr>
        <w:pStyle w:val="productlist"/>
        <w:numPr>
          <w:ilvl w:val="0"/>
          <w:numId w:val="9"/>
        </w:numPr>
        <w:tabs>
          <w:tab w:val="left" w:pos="837"/>
        </w:tabs>
        <w:spacing w:after="60" w:line="240" w:lineRule="auto"/>
        <w:rPr>
          <w:rFonts w:ascii="Calibri" w:hAnsi="Calibri" w:cs="Calibri"/>
          <w:sz w:val="22"/>
          <w:szCs w:val="22"/>
        </w:rPr>
      </w:pPr>
      <w:r w:rsidRPr="002B76B2">
        <w:rPr>
          <w:rFonts w:ascii="Calibri" w:hAnsi="Calibri"/>
          <w:sz w:val="22"/>
          <w:lang w:val="pt-PT"/>
        </w:rPr>
        <w:t>Windows Intune</w:t>
      </w:r>
    </w:p>
    <w:p w:rsidR="00F24CA5" w:rsidRPr="002B76B2" w:rsidRDefault="00F24CA5" w:rsidP="00627D84">
      <w:pPr>
        <w:tabs>
          <w:tab w:val="left" w:pos="-90"/>
          <w:tab w:val="left" w:pos="0"/>
        </w:tabs>
        <w:jc w:val="both"/>
        <w:rPr>
          <w:rFonts w:ascii="Calibri" w:hAnsi="Calibri" w:cs="Calibri"/>
          <w:sz w:val="22"/>
          <w:szCs w:val="22"/>
        </w:rPr>
        <w:sectPr w:rsidR="00F24CA5" w:rsidRPr="002B76B2" w:rsidSect="00E775E5">
          <w:type w:val="continuous"/>
          <w:pgSz w:w="12240" w:h="15840" w:code="1"/>
          <w:pgMar w:top="1440" w:right="1440" w:bottom="1440" w:left="1440" w:header="720" w:footer="720" w:gutter="0"/>
          <w:cols w:num="2" w:space="720"/>
          <w:docGrid w:linePitch="360"/>
        </w:sectPr>
      </w:pPr>
    </w:p>
    <w:p w:rsidR="00C85BB8" w:rsidRPr="002B76B2" w:rsidRDefault="00C85BB8" w:rsidP="00627D84">
      <w:pPr>
        <w:tabs>
          <w:tab w:val="left" w:pos="-90"/>
          <w:tab w:val="left" w:pos="0"/>
        </w:tabs>
        <w:jc w:val="both"/>
        <w:rPr>
          <w:rFonts w:ascii="Calibri" w:hAnsi="Calibri" w:cs="Calibri"/>
          <w:sz w:val="12"/>
          <w:szCs w:val="12"/>
        </w:rPr>
      </w:pPr>
    </w:p>
    <w:p w:rsidR="00637C9E" w:rsidRPr="002B76B2" w:rsidRDefault="004703C4" w:rsidP="00B236D8">
      <w:pPr>
        <w:jc w:val="both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 xml:space="preserve">A Microsoft fornece o apoio financeiro ao seu compromisso </w:t>
      </w:r>
      <w:r w:rsidR="00F71A28" w:rsidRPr="002B76B2">
        <w:rPr>
          <w:rFonts w:ascii="Calibri" w:hAnsi="Calibri"/>
          <w:sz w:val="22"/>
          <w:lang w:val="pt-PT"/>
        </w:rPr>
        <w:t>de</w:t>
      </w:r>
      <w:r w:rsidRPr="002B76B2">
        <w:rPr>
          <w:rFonts w:ascii="Calibri" w:hAnsi="Calibri"/>
          <w:sz w:val="22"/>
          <w:lang w:val="pt-PT"/>
        </w:rPr>
        <w:t xml:space="preserve"> alcançar e manter os Níveis de Serviço para cada Serviço.</w:t>
      </w:r>
      <w:r w:rsidR="00C85BB8" w:rsidRPr="002B76B2">
        <w:rPr>
          <w:rFonts w:ascii="Calibri" w:hAnsi="Calibri" w:cs="Calibri"/>
          <w:sz w:val="22"/>
          <w:szCs w:val="22"/>
          <w:lang w:val="pt-BR"/>
        </w:rPr>
        <w:t xml:space="preserve"> </w:t>
      </w:r>
      <w:r w:rsidRPr="002B76B2">
        <w:rPr>
          <w:rFonts w:ascii="Calibri" w:hAnsi="Calibri"/>
          <w:sz w:val="22"/>
          <w:lang w:val="pt-PT"/>
        </w:rPr>
        <w:t>Se não for possível alcançar e manter os Níveis de Serviço para cada Serviço conforme descrito neste SLA, o Cliente poderá ser elegível para um crédito em troca de parte dos seus honorários mensais dos serviços.</w:t>
      </w:r>
      <w:r w:rsidR="000D77E2" w:rsidRPr="002B76B2">
        <w:rPr>
          <w:rFonts w:ascii="Calibri" w:hAnsi="Calibri" w:cs="Calibri"/>
          <w:sz w:val="22"/>
          <w:szCs w:val="22"/>
          <w:lang w:val="pt-BR"/>
        </w:rPr>
        <w:t xml:space="preserve"> </w:t>
      </w:r>
      <w:r w:rsidRPr="002B76B2">
        <w:rPr>
          <w:rFonts w:ascii="Calibri" w:hAnsi="Calibri"/>
          <w:sz w:val="22"/>
          <w:lang w:val="pt-PT"/>
        </w:rPr>
        <w:t xml:space="preserve">Não serão modificados os termos do SLA do Cliente durante o </w:t>
      </w:r>
      <w:r w:rsidR="00601824" w:rsidRPr="002B76B2">
        <w:rPr>
          <w:rFonts w:ascii="Calibri" w:hAnsi="Calibri"/>
          <w:sz w:val="22"/>
          <w:lang w:val="pt-PT"/>
        </w:rPr>
        <w:t xml:space="preserve">período </w:t>
      </w:r>
      <w:r w:rsidRPr="002B76B2">
        <w:rPr>
          <w:rFonts w:ascii="Calibri" w:hAnsi="Calibri"/>
          <w:sz w:val="22"/>
          <w:lang w:val="pt-PT"/>
        </w:rPr>
        <w:t xml:space="preserve">inicial da subscrição do Cliente; no entanto, se a subscrição deste for renovada, a versão deste SLA atual no momento da renovação aplicar-se-á durante o </w:t>
      </w:r>
      <w:r w:rsidR="00601824" w:rsidRPr="002B76B2">
        <w:rPr>
          <w:rFonts w:ascii="Calibri" w:hAnsi="Calibri"/>
          <w:sz w:val="22"/>
          <w:lang w:val="pt-PT"/>
        </w:rPr>
        <w:t xml:space="preserve">período </w:t>
      </w:r>
      <w:r w:rsidRPr="002B76B2">
        <w:rPr>
          <w:rFonts w:ascii="Calibri" w:hAnsi="Calibri"/>
          <w:sz w:val="22"/>
          <w:lang w:val="pt-PT"/>
        </w:rPr>
        <w:t>d</w:t>
      </w:r>
      <w:r w:rsidR="00601824" w:rsidRPr="002B76B2">
        <w:rPr>
          <w:rFonts w:ascii="Calibri" w:hAnsi="Calibri"/>
          <w:sz w:val="22"/>
          <w:lang w:val="pt-PT"/>
        </w:rPr>
        <w:t>e</w:t>
      </w:r>
      <w:r w:rsidRPr="002B76B2">
        <w:rPr>
          <w:rFonts w:ascii="Calibri" w:hAnsi="Calibri"/>
          <w:sz w:val="22"/>
          <w:lang w:val="pt-PT"/>
        </w:rPr>
        <w:t xml:space="preserve"> renovação do Cliente.</w:t>
      </w:r>
    </w:p>
    <w:p w:rsidR="00C85BB8" w:rsidRPr="002B76B2" w:rsidRDefault="00C85BB8" w:rsidP="00627D84">
      <w:pPr>
        <w:tabs>
          <w:tab w:val="left" w:pos="-90"/>
          <w:tab w:val="left" w:pos="0"/>
        </w:tabs>
        <w:jc w:val="both"/>
        <w:rPr>
          <w:rFonts w:ascii="Calibri" w:hAnsi="Calibri" w:cs="Calibri"/>
          <w:b/>
          <w:sz w:val="12"/>
          <w:szCs w:val="12"/>
          <w:lang w:val="pt-BR"/>
        </w:rPr>
      </w:pPr>
    </w:p>
    <w:p w:rsidR="00C85BB8" w:rsidRPr="002B76B2" w:rsidRDefault="004703C4" w:rsidP="00F63A54">
      <w:pPr>
        <w:pStyle w:val="ListParagraph"/>
        <w:numPr>
          <w:ilvl w:val="0"/>
          <w:numId w:val="7"/>
        </w:numPr>
        <w:tabs>
          <w:tab w:val="left" w:pos="-90"/>
          <w:tab w:val="left" w:pos="0"/>
        </w:tabs>
        <w:jc w:val="both"/>
        <w:rPr>
          <w:rFonts w:ascii="Calibri" w:hAnsi="Calibri" w:cs="Calibri"/>
          <w:b/>
          <w:sz w:val="22"/>
          <w:szCs w:val="22"/>
        </w:rPr>
      </w:pPr>
      <w:r w:rsidRPr="002B76B2">
        <w:rPr>
          <w:rFonts w:ascii="Calibri" w:hAnsi="Calibri"/>
          <w:b/>
          <w:sz w:val="22"/>
          <w:u w:val="single"/>
          <w:lang w:val="pt-PT"/>
        </w:rPr>
        <w:t>Definições</w:t>
      </w:r>
      <w:r w:rsidRPr="002B76B2">
        <w:rPr>
          <w:rFonts w:ascii="Calibri" w:hAnsi="Calibri"/>
          <w:b/>
          <w:sz w:val="22"/>
          <w:lang w:val="pt-PT"/>
        </w:rPr>
        <w:t>.</w:t>
      </w:r>
    </w:p>
    <w:p w:rsidR="00D465EA" w:rsidRPr="002B76B2" w:rsidRDefault="00D465EA" w:rsidP="00156D8F">
      <w:pPr>
        <w:tabs>
          <w:tab w:val="left" w:pos="-90"/>
          <w:tab w:val="left" w:pos="0"/>
        </w:tabs>
        <w:jc w:val="both"/>
        <w:rPr>
          <w:rFonts w:ascii="Calibri" w:hAnsi="Calibri" w:cs="Calibri"/>
          <w:b/>
          <w:sz w:val="12"/>
          <w:szCs w:val="12"/>
        </w:rPr>
      </w:pPr>
    </w:p>
    <w:p w:rsidR="00627D84" w:rsidRPr="002B76B2" w:rsidRDefault="004703C4" w:rsidP="003979EB">
      <w:pPr>
        <w:pStyle w:val="ListParagraph"/>
        <w:suppressAutoHyphens w:val="0"/>
        <w:autoSpaceDN/>
        <w:spacing w:after="200"/>
        <w:ind w:left="360"/>
        <w:jc w:val="both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Por “</w:t>
      </w:r>
      <w:r w:rsidRPr="002B76B2">
        <w:rPr>
          <w:rFonts w:ascii="Calibri" w:hAnsi="Calibri"/>
          <w:sz w:val="22"/>
          <w:u w:val="single"/>
          <w:lang w:val="pt-PT"/>
        </w:rPr>
        <w:t>Honorários Mensais dos Serviços Aplicáveis</w:t>
      </w:r>
      <w:r w:rsidRPr="002B76B2">
        <w:rPr>
          <w:rFonts w:ascii="Calibri" w:hAnsi="Calibri"/>
          <w:sz w:val="22"/>
          <w:lang w:val="pt-PT"/>
        </w:rPr>
        <w:t>” entende-se o total dos honorários pagos efetivamente pelo Cliente por um Serviço que é aplicado ao mês em que um Crédito de Serviço é devido.</w:t>
      </w:r>
    </w:p>
    <w:p w:rsidR="002D51F5" w:rsidRPr="002B76B2" w:rsidRDefault="002D51F5" w:rsidP="002D51F5">
      <w:pPr>
        <w:pStyle w:val="ListParagraph"/>
        <w:suppressAutoHyphens w:val="0"/>
        <w:autoSpaceDN/>
        <w:spacing w:after="200"/>
        <w:ind w:left="360"/>
        <w:jc w:val="both"/>
        <w:textAlignment w:val="auto"/>
        <w:rPr>
          <w:rFonts w:ascii="Calibri" w:hAnsi="Calibri" w:cs="Calibri"/>
          <w:sz w:val="12"/>
          <w:szCs w:val="12"/>
          <w:lang w:val="pt-BR"/>
        </w:rPr>
      </w:pPr>
    </w:p>
    <w:p w:rsidR="00D465EA" w:rsidRPr="002B76B2" w:rsidRDefault="004703C4" w:rsidP="003979EB">
      <w:pPr>
        <w:pStyle w:val="ListParagraph"/>
        <w:suppressAutoHyphens w:val="0"/>
        <w:autoSpaceDN/>
        <w:spacing w:after="200"/>
        <w:ind w:left="360"/>
        <w:jc w:val="both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Por “</w:t>
      </w:r>
      <w:r w:rsidRPr="002B76B2">
        <w:rPr>
          <w:rFonts w:ascii="Calibri" w:hAnsi="Calibri"/>
          <w:sz w:val="22"/>
          <w:u w:val="single"/>
          <w:lang w:val="pt-PT"/>
        </w:rPr>
        <w:t>Indisponibilidade</w:t>
      </w:r>
      <w:r w:rsidRPr="002B76B2">
        <w:rPr>
          <w:rFonts w:ascii="Calibri" w:hAnsi="Calibri"/>
          <w:sz w:val="22"/>
          <w:lang w:val="pt-PT"/>
        </w:rPr>
        <w:t>” entende-se o total de minutos num mês durante o qual os aspetos de um Serviço especificado na tabela seguinte estão indisponíveis, multiplicado pelo número de utilizadores afetados, excluindo (i) Indisponibilidade Agendada e (ii) indisponibilidade de um Serviço devido às limitações descritas na Secção 5(a) abaixo.</w:t>
      </w:r>
      <w:r w:rsidR="00D465EA" w:rsidRPr="002B76B2">
        <w:rPr>
          <w:rFonts w:ascii="Calibri" w:hAnsi="Calibri" w:cs="Calibri"/>
          <w:sz w:val="22"/>
          <w:szCs w:val="22"/>
          <w:lang w:val="pt-BR"/>
        </w:rPr>
        <w:t xml:space="preserve"> </w:t>
      </w:r>
    </w:p>
    <w:p w:rsidR="00C24254" w:rsidRPr="002B76B2" w:rsidRDefault="00C24254" w:rsidP="00D85BEB">
      <w:pPr>
        <w:pStyle w:val="ListParagraph"/>
        <w:suppressAutoHyphens w:val="0"/>
        <w:autoSpaceDN/>
        <w:spacing w:after="200"/>
        <w:ind w:left="360"/>
        <w:jc w:val="both"/>
        <w:textAlignment w:val="auto"/>
        <w:rPr>
          <w:rFonts w:ascii="Calibri" w:hAnsi="Calibri" w:cs="Calibri"/>
          <w:sz w:val="22"/>
          <w:szCs w:val="22"/>
          <w:lang w:val="pt-BR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8"/>
        <w:gridCol w:w="5958"/>
      </w:tblGrid>
      <w:tr w:rsidR="00C24254" w:rsidRPr="002B76B2">
        <w:trPr>
          <w:trHeight w:val="377"/>
        </w:trPr>
        <w:tc>
          <w:tcPr>
            <w:tcW w:w="3258" w:type="dxa"/>
            <w:shd w:val="clear" w:color="auto" w:fill="D9D9D9"/>
          </w:tcPr>
          <w:p w:rsidR="00C24254" w:rsidRPr="002B76B2" w:rsidRDefault="004703C4" w:rsidP="00F72CB4">
            <w:pPr>
              <w:pStyle w:val="ListParagraph"/>
              <w:suppressAutoHyphens w:val="0"/>
              <w:autoSpaceDN/>
              <w:spacing w:after="200"/>
              <w:ind w:left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B76B2">
              <w:rPr>
                <w:rFonts w:ascii="Calibri" w:hAnsi="Calibri"/>
                <w:b/>
                <w:sz w:val="22"/>
                <w:lang w:val="pt-PT"/>
              </w:rPr>
              <w:t>Serviço Online</w:t>
            </w:r>
          </w:p>
        </w:tc>
        <w:tc>
          <w:tcPr>
            <w:tcW w:w="5958" w:type="dxa"/>
            <w:shd w:val="clear" w:color="auto" w:fill="D9D9D9"/>
          </w:tcPr>
          <w:p w:rsidR="00C24254" w:rsidRPr="002B76B2" w:rsidRDefault="004703C4" w:rsidP="00F72CB4">
            <w:pPr>
              <w:pStyle w:val="ListParagraph"/>
              <w:suppressAutoHyphens w:val="0"/>
              <w:autoSpaceDN/>
              <w:spacing w:after="200"/>
              <w:ind w:left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B76B2">
              <w:rPr>
                <w:rFonts w:ascii="Calibri" w:hAnsi="Calibri"/>
                <w:b/>
                <w:sz w:val="22"/>
                <w:lang w:val="pt-PT"/>
              </w:rPr>
              <w:t>Qualificações de Indisponibilidade</w:t>
            </w:r>
            <w:r w:rsidR="00C24254" w:rsidRPr="002B76B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C24254" w:rsidRPr="002B76B2">
        <w:tc>
          <w:tcPr>
            <w:tcW w:w="3258" w:type="dxa"/>
          </w:tcPr>
          <w:p w:rsidR="00C24254" w:rsidRPr="002B76B2" w:rsidRDefault="00AB1C09" w:rsidP="00F72CB4">
            <w:pPr>
              <w:pStyle w:val="ListParagraph"/>
              <w:suppressAutoHyphens w:val="0"/>
              <w:autoSpaceDN/>
              <w:spacing w:after="200"/>
              <w:ind w:left="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/>
                <w:sz w:val="22"/>
                <w:lang w:val="pt-PT"/>
              </w:rPr>
              <w:t>Dynamics CRM Online</w:t>
            </w:r>
          </w:p>
        </w:tc>
        <w:tc>
          <w:tcPr>
            <w:tcW w:w="5958" w:type="dxa"/>
          </w:tcPr>
          <w:p w:rsidR="00C24254" w:rsidRPr="002B76B2" w:rsidRDefault="00AB1C09" w:rsidP="00F72CB4">
            <w:pPr>
              <w:pStyle w:val="ListParagraph"/>
              <w:suppressAutoHyphens w:val="0"/>
              <w:autoSpaceDN/>
              <w:spacing w:after="200"/>
              <w:ind w:left="0"/>
              <w:textAlignment w:val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2B76B2">
              <w:rPr>
                <w:rFonts w:ascii="Calibri" w:hAnsi="Calibri"/>
                <w:sz w:val="22"/>
                <w:lang w:val="pt-PT"/>
              </w:rPr>
              <w:t>Qualquer período de tempo durante o qual os utilizadores finais não conseguem ler ou escrever quaisquer dados de Serviços para os quais têm a permissão adequada.</w:t>
            </w:r>
          </w:p>
        </w:tc>
      </w:tr>
      <w:tr w:rsidR="00287107" w:rsidRPr="002B76B2">
        <w:tc>
          <w:tcPr>
            <w:tcW w:w="3258" w:type="dxa"/>
          </w:tcPr>
          <w:p w:rsidR="00287107" w:rsidRPr="002B76B2" w:rsidRDefault="00AB1C09" w:rsidP="00F72CB4">
            <w:pPr>
              <w:pStyle w:val="ListParagraph"/>
              <w:suppressAutoHyphens w:val="0"/>
              <w:autoSpaceDN/>
              <w:spacing w:after="200"/>
              <w:ind w:left="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/>
                <w:sz w:val="22"/>
                <w:lang w:val="pt-PT"/>
              </w:rPr>
              <w:t>Arquivo de Exchange Online</w:t>
            </w:r>
          </w:p>
        </w:tc>
        <w:tc>
          <w:tcPr>
            <w:tcW w:w="5958" w:type="dxa"/>
          </w:tcPr>
          <w:p w:rsidR="00287107" w:rsidRPr="002B76B2" w:rsidRDefault="00AB1C09" w:rsidP="00F72CB4">
            <w:pPr>
              <w:pStyle w:val="ListParagraph"/>
              <w:suppressAutoHyphens w:val="0"/>
              <w:autoSpaceDN/>
              <w:spacing w:after="200"/>
              <w:ind w:left="0"/>
              <w:textAlignment w:val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2B76B2">
              <w:rPr>
                <w:rFonts w:ascii="Calibri" w:hAnsi="Calibri"/>
                <w:sz w:val="22"/>
                <w:lang w:val="pt-PT"/>
              </w:rPr>
              <w:t>Qualquer período de tempo durante o qual os utilizadores finais não conseguem aceder às mensagens de correio eletrónico armazenadas no seu arquivo.</w:t>
            </w:r>
          </w:p>
        </w:tc>
      </w:tr>
      <w:tr w:rsidR="00287107" w:rsidRPr="002B76B2">
        <w:tc>
          <w:tcPr>
            <w:tcW w:w="3258" w:type="dxa"/>
          </w:tcPr>
          <w:p w:rsidR="00287107" w:rsidRPr="002B76B2" w:rsidRDefault="00AB1C09" w:rsidP="00F72CB4">
            <w:pPr>
              <w:pStyle w:val="ListParagraph"/>
              <w:suppressAutoHyphens w:val="0"/>
              <w:autoSpaceDN/>
              <w:spacing w:after="200"/>
              <w:ind w:left="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/>
                <w:sz w:val="22"/>
                <w:lang w:val="pt-PT"/>
              </w:rPr>
              <w:t>Exchange Online</w:t>
            </w:r>
          </w:p>
        </w:tc>
        <w:tc>
          <w:tcPr>
            <w:tcW w:w="5958" w:type="dxa"/>
          </w:tcPr>
          <w:p w:rsidR="00287107" w:rsidRPr="002B76B2" w:rsidRDefault="00AB1C09" w:rsidP="00F72CB4">
            <w:pPr>
              <w:pStyle w:val="ListParagraph"/>
              <w:suppressAutoHyphens w:val="0"/>
              <w:autoSpaceDN/>
              <w:spacing w:after="200"/>
              <w:ind w:left="0"/>
              <w:textAlignment w:val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2B76B2">
              <w:rPr>
                <w:rFonts w:ascii="Calibri" w:hAnsi="Calibri"/>
                <w:sz w:val="22"/>
                <w:lang w:val="pt-PT"/>
              </w:rPr>
              <w:t>Qualquer período de tempo durante o qual os utilizadores finais não conseguem enviar ou receber mensagens de correio eletrónico com o Outlook Web Access.</w:t>
            </w:r>
          </w:p>
        </w:tc>
      </w:tr>
      <w:tr w:rsidR="00287107" w:rsidRPr="002B76B2" w:rsidTr="00624C62">
        <w:trPr>
          <w:cantSplit/>
        </w:trPr>
        <w:tc>
          <w:tcPr>
            <w:tcW w:w="3258" w:type="dxa"/>
          </w:tcPr>
          <w:p w:rsidR="00287107" w:rsidRPr="002B76B2" w:rsidRDefault="00AB1C09" w:rsidP="00624C62">
            <w:pPr>
              <w:pStyle w:val="ListParagraph"/>
              <w:suppressAutoHyphens w:val="0"/>
              <w:autoSpaceDN/>
              <w:spacing w:after="200"/>
              <w:ind w:left="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/>
                <w:sz w:val="22"/>
              </w:rPr>
              <w:lastRenderedPageBreak/>
              <w:t>Forefront Online Protection for Exchange</w:t>
            </w:r>
            <w:r w:rsidR="00287107" w:rsidRPr="002B76B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958" w:type="dxa"/>
          </w:tcPr>
          <w:p w:rsidR="00287107" w:rsidRPr="002B76B2" w:rsidRDefault="00AB1C09" w:rsidP="00624C62">
            <w:pPr>
              <w:pStyle w:val="ListParagraph"/>
              <w:suppressAutoHyphens w:val="0"/>
              <w:autoSpaceDN/>
              <w:spacing w:after="200"/>
              <w:ind w:left="0"/>
              <w:textAlignment w:val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2B76B2">
              <w:rPr>
                <w:rFonts w:ascii="Calibri" w:hAnsi="Calibri"/>
                <w:sz w:val="22"/>
                <w:lang w:val="pt-PT"/>
              </w:rPr>
              <w:t>Qualquer período de tempo durante o qual a rede não consegue receber e processar mensagens de correio eletrónico.</w:t>
            </w:r>
          </w:p>
        </w:tc>
      </w:tr>
      <w:tr w:rsidR="00BC6AA1" w:rsidRPr="002B76B2">
        <w:tc>
          <w:tcPr>
            <w:tcW w:w="3258" w:type="dxa"/>
          </w:tcPr>
          <w:p w:rsidR="00BC6AA1" w:rsidRPr="002B76B2" w:rsidRDefault="00F72CB4" w:rsidP="00F72CB4">
            <w:pPr>
              <w:pStyle w:val="ListParagraph"/>
              <w:suppressAutoHyphens w:val="0"/>
              <w:autoSpaceDN/>
              <w:spacing w:after="200"/>
              <w:ind w:left="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/>
                <w:sz w:val="22"/>
                <w:lang w:val="pt-PT"/>
              </w:rPr>
              <w:t>Office Web Applications</w:t>
            </w:r>
          </w:p>
        </w:tc>
        <w:tc>
          <w:tcPr>
            <w:tcW w:w="5958" w:type="dxa"/>
          </w:tcPr>
          <w:p w:rsidR="00BC6AA1" w:rsidRPr="002B76B2" w:rsidRDefault="00F72CB4" w:rsidP="00F72CB4">
            <w:pPr>
              <w:pStyle w:val="ListParagraph"/>
              <w:suppressAutoHyphens w:val="0"/>
              <w:autoSpaceDN/>
              <w:spacing w:after="200"/>
              <w:ind w:left="0"/>
              <w:textAlignment w:val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2B76B2">
              <w:rPr>
                <w:rFonts w:ascii="Calibri" w:hAnsi="Calibri"/>
                <w:sz w:val="22"/>
                <w:lang w:val="pt-PT"/>
              </w:rPr>
              <w:t>Qualquer período de tempo durante o qual os utilizadores finais não conseguem utilizar as Web Applications para ver e editar quaisquer documentos do Office armazenados num site do SharePoint para o qual têm permissões adequadas.</w:t>
            </w:r>
          </w:p>
        </w:tc>
      </w:tr>
      <w:tr w:rsidR="00BC6AA1" w:rsidRPr="002B76B2">
        <w:trPr>
          <w:trHeight w:val="917"/>
        </w:trPr>
        <w:tc>
          <w:tcPr>
            <w:tcW w:w="3258" w:type="dxa"/>
          </w:tcPr>
          <w:p w:rsidR="00BC6AA1" w:rsidRPr="002B76B2" w:rsidRDefault="00F72CB4" w:rsidP="00F72CB4">
            <w:pPr>
              <w:pStyle w:val="ListParagraph"/>
              <w:suppressAutoHyphens w:val="0"/>
              <w:autoSpaceDN/>
              <w:spacing w:after="200"/>
              <w:ind w:left="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/>
                <w:sz w:val="22"/>
                <w:lang w:val="pt-PT"/>
              </w:rPr>
              <w:t>Lync Online</w:t>
            </w:r>
          </w:p>
        </w:tc>
        <w:tc>
          <w:tcPr>
            <w:tcW w:w="5958" w:type="dxa"/>
          </w:tcPr>
          <w:p w:rsidR="00BC6AA1" w:rsidRPr="002B76B2" w:rsidRDefault="00F72CB4" w:rsidP="00D66E4D">
            <w:pPr>
              <w:pStyle w:val="ListParagraph"/>
              <w:suppressAutoHyphens w:val="0"/>
              <w:autoSpaceDN/>
              <w:spacing w:after="200"/>
              <w:ind w:left="0"/>
              <w:textAlignment w:val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2B76B2">
              <w:rPr>
                <w:rFonts w:ascii="Calibri" w:hAnsi="Calibri"/>
                <w:sz w:val="22"/>
                <w:lang w:val="pt-PT"/>
              </w:rPr>
              <w:t>Qualquer período durante o qual os utilizadores finais não conseguem ver o estado da presença, realizar conversações de</w:t>
            </w:r>
            <w:r w:rsidR="00D66E4D" w:rsidRPr="002B76B2">
              <w:rPr>
                <w:rFonts w:ascii="Calibri" w:hAnsi="Calibri"/>
                <w:sz w:val="22"/>
                <w:lang w:val="pt-PT"/>
              </w:rPr>
              <w:t> </w:t>
            </w:r>
            <w:r w:rsidRPr="002B76B2">
              <w:rPr>
                <w:rFonts w:ascii="Calibri" w:hAnsi="Calibri"/>
                <w:sz w:val="22"/>
                <w:lang w:val="pt-PT"/>
              </w:rPr>
              <w:t>mensagens instantâneas ou iniciar reuniões online</w:t>
            </w:r>
            <w:r w:rsidRPr="002B76B2">
              <w:rPr>
                <w:rFonts w:ascii="Calibri" w:hAnsi="Calibri"/>
                <w:sz w:val="22"/>
                <w:vertAlign w:val="superscript"/>
                <w:lang w:val="pt-PT"/>
              </w:rPr>
              <w:t>1</w:t>
            </w:r>
            <w:r w:rsidRPr="002B76B2">
              <w:rPr>
                <w:rFonts w:ascii="Calibri" w:hAnsi="Calibri"/>
                <w:sz w:val="22"/>
                <w:lang w:val="pt-PT"/>
              </w:rPr>
              <w:t>.</w:t>
            </w:r>
            <w:r w:rsidR="000D77E2" w:rsidRPr="002B76B2">
              <w:rPr>
                <w:rFonts w:ascii="Calibri" w:hAnsi="Calibri" w:cs="Calibri"/>
                <w:sz w:val="22"/>
                <w:szCs w:val="22"/>
                <w:lang w:val="pt-BR"/>
              </w:rPr>
              <w:t xml:space="preserve"> </w:t>
            </w:r>
          </w:p>
        </w:tc>
      </w:tr>
      <w:tr w:rsidR="00BC6AA1" w:rsidRPr="002B76B2">
        <w:tc>
          <w:tcPr>
            <w:tcW w:w="3258" w:type="dxa"/>
          </w:tcPr>
          <w:p w:rsidR="00BC6AA1" w:rsidRPr="002B76B2" w:rsidRDefault="00F72CB4" w:rsidP="00F72CB4">
            <w:pPr>
              <w:pStyle w:val="ListParagraph"/>
              <w:suppressAutoHyphens w:val="0"/>
              <w:autoSpaceDN/>
              <w:spacing w:after="200"/>
              <w:ind w:left="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/>
                <w:sz w:val="22"/>
                <w:lang w:val="pt-PT"/>
              </w:rPr>
              <w:t>SharePoint Online</w:t>
            </w:r>
          </w:p>
        </w:tc>
        <w:tc>
          <w:tcPr>
            <w:tcW w:w="5958" w:type="dxa"/>
          </w:tcPr>
          <w:p w:rsidR="00BC6AA1" w:rsidRPr="002B76B2" w:rsidRDefault="00F72CB4" w:rsidP="00F72CB4">
            <w:pPr>
              <w:pStyle w:val="ListParagraph"/>
              <w:suppressAutoHyphens w:val="0"/>
              <w:autoSpaceDN/>
              <w:spacing w:after="200"/>
              <w:ind w:left="0"/>
              <w:textAlignment w:val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2B76B2">
              <w:rPr>
                <w:rFonts w:ascii="Calibri" w:hAnsi="Calibri"/>
                <w:sz w:val="22"/>
                <w:lang w:val="pt-PT"/>
              </w:rPr>
              <w:t>Qualquer período de tempo durante o qual os utilizadores não conseguem ler ou escrever qualquer parte de uma coleção de sites do SharePoint para a qual têm permissões adequadas.</w:t>
            </w:r>
          </w:p>
        </w:tc>
      </w:tr>
      <w:tr w:rsidR="00BC6AA1" w:rsidRPr="002B76B2">
        <w:tc>
          <w:tcPr>
            <w:tcW w:w="3258" w:type="dxa"/>
          </w:tcPr>
          <w:p w:rsidR="00BC6AA1" w:rsidRPr="002B76B2" w:rsidRDefault="00F72CB4" w:rsidP="00F72CB4">
            <w:pPr>
              <w:pStyle w:val="ListParagraph"/>
              <w:suppressAutoHyphens w:val="0"/>
              <w:autoSpaceDN/>
              <w:spacing w:after="200"/>
              <w:ind w:left="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/>
                <w:sz w:val="22"/>
                <w:lang w:val="pt-PT"/>
              </w:rPr>
              <w:t>Windows Intune</w:t>
            </w:r>
          </w:p>
        </w:tc>
        <w:tc>
          <w:tcPr>
            <w:tcW w:w="5958" w:type="dxa"/>
          </w:tcPr>
          <w:p w:rsidR="00BC6AA1" w:rsidRPr="002B76B2" w:rsidRDefault="00F72CB4" w:rsidP="00F72CB4">
            <w:pPr>
              <w:pStyle w:val="ListParagraph"/>
              <w:suppressAutoHyphens w:val="0"/>
              <w:autoSpaceDN/>
              <w:spacing w:after="200"/>
              <w:ind w:left="0"/>
              <w:textAlignment w:val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2B76B2">
              <w:rPr>
                <w:rFonts w:ascii="Calibri" w:hAnsi="Calibri"/>
                <w:sz w:val="22"/>
                <w:lang w:val="pt-PT"/>
              </w:rPr>
              <w:t>Qualquer período de tempo durante o qual um administrador de TI de um Cliente não consegue iniciar sessão no Serviço para executar tarefas administrativas permitidas pelo Serviço.</w:t>
            </w:r>
          </w:p>
        </w:tc>
      </w:tr>
    </w:tbl>
    <w:p w:rsidR="00BC6AA1" w:rsidRPr="002B76B2" w:rsidRDefault="00F72CB4" w:rsidP="00BC6AA1">
      <w:pPr>
        <w:pStyle w:val="ListParagraph"/>
        <w:suppressAutoHyphens w:val="0"/>
        <w:autoSpaceDN/>
        <w:spacing w:after="200"/>
        <w:ind w:left="360"/>
        <w:jc w:val="both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vertAlign w:val="superscript"/>
          <w:lang w:val="pt-PT"/>
        </w:rPr>
        <w:t>1</w:t>
      </w:r>
      <w:r w:rsidRPr="002B76B2">
        <w:rPr>
          <w:rFonts w:ascii="Calibri" w:hAnsi="Calibri"/>
          <w:sz w:val="22"/>
          <w:lang w:val="pt-PT"/>
        </w:rPr>
        <w:t xml:space="preserve"> </w:t>
      </w:r>
      <w:r w:rsidRPr="002B76B2">
        <w:rPr>
          <w:rFonts w:ascii="Calibri" w:hAnsi="Calibri"/>
          <w:sz w:val="18"/>
          <w:lang w:val="pt-PT"/>
        </w:rPr>
        <w:t>Funcionalidade de reunião online aplicável apenas ao Serviço Lync Plano 2</w:t>
      </w:r>
    </w:p>
    <w:p w:rsidR="00D352D1" w:rsidRPr="00457DF0" w:rsidRDefault="00D352D1" w:rsidP="00D352D1">
      <w:pPr>
        <w:pStyle w:val="ListParagraph"/>
        <w:suppressAutoHyphens w:val="0"/>
        <w:autoSpaceDN/>
        <w:spacing w:after="200"/>
        <w:ind w:left="360"/>
        <w:jc w:val="both"/>
        <w:textAlignment w:val="auto"/>
        <w:rPr>
          <w:rFonts w:ascii="Calibri" w:hAnsi="Calibri" w:cs="Calibri"/>
          <w:sz w:val="12"/>
          <w:szCs w:val="12"/>
        </w:rPr>
      </w:pPr>
    </w:p>
    <w:p w:rsidR="00D352D1" w:rsidRPr="00457DF0" w:rsidRDefault="00D352D1" w:rsidP="00D352D1">
      <w:pPr>
        <w:pStyle w:val="ListParagraph"/>
        <w:suppressAutoHyphens w:val="0"/>
        <w:autoSpaceDN/>
        <w:spacing w:after="200"/>
        <w:ind w:left="360"/>
        <w:jc w:val="both"/>
        <w:textAlignment w:val="auto"/>
        <w:rPr>
          <w:rFonts w:ascii="Calibri" w:hAnsi="Calibri" w:cs="Calibri"/>
          <w:sz w:val="12"/>
          <w:szCs w:val="12"/>
        </w:rPr>
      </w:pPr>
    </w:p>
    <w:p w:rsidR="00D465EA" w:rsidRPr="002B76B2" w:rsidRDefault="00F72CB4" w:rsidP="00C10545">
      <w:pPr>
        <w:pStyle w:val="ListParagraph"/>
        <w:suppressAutoHyphens w:val="0"/>
        <w:autoSpaceDN/>
        <w:spacing w:after="200"/>
        <w:ind w:left="360"/>
        <w:jc w:val="both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Por “</w:t>
      </w:r>
      <w:r w:rsidRPr="002B76B2">
        <w:rPr>
          <w:rFonts w:ascii="Calibri" w:hAnsi="Calibri"/>
          <w:sz w:val="22"/>
          <w:u w:val="single"/>
          <w:lang w:val="pt-PT"/>
        </w:rPr>
        <w:t>Incidente</w:t>
      </w:r>
      <w:r w:rsidRPr="002B76B2">
        <w:rPr>
          <w:rFonts w:ascii="Calibri" w:hAnsi="Calibri"/>
          <w:sz w:val="22"/>
          <w:lang w:val="pt-PT"/>
        </w:rPr>
        <w:t xml:space="preserve">” entende-se (i) qualquer evento único </w:t>
      </w:r>
      <w:r w:rsidR="00F71A28" w:rsidRPr="002B76B2">
        <w:rPr>
          <w:rFonts w:ascii="Calibri" w:hAnsi="Calibri"/>
          <w:sz w:val="22"/>
          <w:lang w:val="pt-PT"/>
        </w:rPr>
        <w:t xml:space="preserve">ou (ii) qualquer conjunto de </w:t>
      </w:r>
      <w:r w:rsidRPr="002B76B2">
        <w:rPr>
          <w:rFonts w:ascii="Calibri" w:hAnsi="Calibri"/>
          <w:sz w:val="22"/>
          <w:lang w:val="pt-PT"/>
        </w:rPr>
        <w:t>eventos, que</w:t>
      </w:r>
      <w:r w:rsidR="00C10545" w:rsidRPr="002B76B2">
        <w:rPr>
          <w:rFonts w:ascii="Calibri" w:hAnsi="Calibri"/>
          <w:sz w:val="22"/>
          <w:lang w:val="pt-PT"/>
        </w:rPr>
        <w:t> </w:t>
      </w:r>
      <w:r w:rsidRPr="002B76B2">
        <w:rPr>
          <w:rFonts w:ascii="Calibri" w:hAnsi="Calibri"/>
          <w:sz w:val="22"/>
          <w:lang w:val="pt-PT"/>
        </w:rPr>
        <w:t>resultam em Indisponibilidade.</w:t>
      </w:r>
    </w:p>
    <w:p w:rsidR="00627D84" w:rsidRPr="002B76B2" w:rsidRDefault="00627D84" w:rsidP="00D85BEB">
      <w:pPr>
        <w:pStyle w:val="ListParagraph"/>
        <w:suppressAutoHyphens w:val="0"/>
        <w:autoSpaceDN/>
        <w:spacing w:after="200"/>
        <w:ind w:left="360"/>
        <w:jc w:val="both"/>
        <w:textAlignment w:val="auto"/>
        <w:rPr>
          <w:rFonts w:ascii="Calibri" w:hAnsi="Calibri" w:cs="Calibri"/>
          <w:sz w:val="12"/>
          <w:szCs w:val="12"/>
          <w:lang w:val="pt-BR"/>
        </w:rPr>
      </w:pPr>
    </w:p>
    <w:p w:rsidR="00D465EA" w:rsidRPr="002B76B2" w:rsidRDefault="00F72CB4" w:rsidP="00D85BEB">
      <w:pPr>
        <w:pStyle w:val="ListParagraph"/>
        <w:suppressAutoHyphens w:val="0"/>
        <w:autoSpaceDN/>
        <w:spacing w:after="200"/>
        <w:ind w:left="360"/>
        <w:jc w:val="both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Por “</w:t>
      </w:r>
      <w:r w:rsidRPr="002B76B2">
        <w:rPr>
          <w:rFonts w:ascii="Calibri" w:hAnsi="Calibri"/>
          <w:sz w:val="22"/>
          <w:u w:val="single"/>
          <w:lang w:val="pt-PT"/>
        </w:rPr>
        <w:t>Microsoft</w:t>
      </w:r>
      <w:r w:rsidRPr="002B76B2">
        <w:rPr>
          <w:rFonts w:ascii="Calibri" w:hAnsi="Calibri"/>
          <w:sz w:val="22"/>
          <w:lang w:val="pt-PT"/>
        </w:rPr>
        <w:t>” entende-se a entidade Microsoft que assinou o Contrato.</w:t>
      </w:r>
    </w:p>
    <w:p w:rsidR="00627D84" w:rsidRPr="002B76B2" w:rsidRDefault="00627D84" w:rsidP="00505248">
      <w:pPr>
        <w:pStyle w:val="ListParagraph"/>
        <w:suppressAutoHyphens w:val="0"/>
        <w:autoSpaceDN/>
        <w:spacing w:after="200"/>
        <w:ind w:left="360"/>
        <w:jc w:val="both"/>
        <w:textAlignment w:val="auto"/>
        <w:rPr>
          <w:rFonts w:ascii="Calibri" w:hAnsi="Calibri" w:cs="Calibri"/>
          <w:sz w:val="12"/>
          <w:szCs w:val="12"/>
          <w:lang w:val="pt-BR"/>
        </w:rPr>
      </w:pPr>
    </w:p>
    <w:p w:rsidR="00D465EA" w:rsidRPr="002B76B2" w:rsidRDefault="007D7E3F" w:rsidP="00D85BEB">
      <w:pPr>
        <w:pStyle w:val="ListParagraph"/>
        <w:suppressAutoHyphens w:val="0"/>
        <w:autoSpaceDN/>
        <w:spacing w:after="200"/>
        <w:ind w:left="360"/>
        <w:jc w:val="both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Por “</w:t>
      </w:r>
      <w:r w:rsidRPr="002B76B2">
        <w:rPr>
          <w:rFonts w:ascii="Calibri" w:hAnsi="Calibri"/>
          <w:sz w:val="22"/>
          <w:u w:val="single"/>
          <w:lang w:val="pt-PT"/>
        </w:rPr>
        <w:t>Indisponibilidade Agendada</w:t>
      </w:r>
      <w:r w:rsidRPr="002B76B2">
        <w:rPr>
          <w:rFonts w:ascii="Calibri" w:hAnsi="Calibri"/>
          <w:sz w:val="22"/>
          <w:lang w:val="pt-PT"/>
        </w:rPr>
        <w:t>” entende-se quando a Microsoft publica ou notifica o Cliente dos períodos de Indisponibilidade relacionada com a rede, hardware ou manutenção do Serviço ou atualizações pelo menos cinco (5) dias antes do início dessa Indisponibilidade.</w:t>
      </w:r>
      <w:r w:rsidR="0096534D" w:rsidRPr="002B76B2">
        <w:rPr>
          <w:rFonts w:ascii="Calibri" w:hAnsi="Calibri" w:cs="Calibri"/>
          <w:sz w:val="22"/>
          <w:szCs w:val="22"/>
          <w:lang w:val="pt-BR"/>
        </w:rPr>
        <w:t xml:space="preserve"> </w:t>
      </w:r>
    </w:p>
    <w:p w:rsidR="00627D84" w:rsidRPr="002B76B2" w:rsidRDefault="00627D84" w:rsidP="00D85BEB">
      <w:pPr>
        <w:pStyle w:val="ListParagraph"/>
        <w:suppressAutoHyphens w:val="0"/>
        <w:autoSpaceDN/>
        <w:spacing w:after="200"/>
        <w:ind w:left="360"/>
        <w:jc w:val="both"/>
        <w:textAlignment w:val="auto"/>
        <w:rPr>
          <w:rFonts w:ascii="Calibri" w:hAnsi="Calibri" w:cs="Calibri"/>
          <w:sz w:val="12"/>
          <w:szCs w:val="12"/>
          <w:lang w:val="pt-BR"/>
        </w:rPr>
      </w:pPr>
    </w:p>
    <w:p w:rsidR="00D465EA" w:rsidRPr="002B76B2" w:rsidRDefault="007D7E3F" w:rsidP="00505248">
      <w:pPr>
        <w:pStyle w:val="ListParagraph"/>
        <w:suppressAutoHyphens w:val="0"/>
        <w:autoSpaceDN/>
        <w:spacing w:after="200"/>
        <w:ind w:left="360"/>
        <w:jc w:val="both"/>
        <w:textAlignment w:val="auto"/>
        <w:rPr>
          <w:rFonts w:ascii="Calibri" w:hAnsi="Calibri" w:cs="Calibri"/>
          <w:b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Por “</w:t>
      </w:r>
      <w:r w:rsidRPr="002B76B2">
        <w:rPr>
          <w:rFonts w:ascii="Calibri" w:hAnsi="Calibri"/>
          <w:sz w:val="22"/>
          <w:u w:val="single"/>
          <w:lang w:val="pt-PT"/>
        </w:rPr>
        <w:t>Serviço</w:t>
      </w:r>
      <w:r w:rsidRPr="002B76B2">
        <w:rPr>
          <w:rFonts w:ascii="Calibri" w:hAnsi="Calibri"/>
          <w:sz w:val="22"/>
          <w:lang w:val="pt-PT"/>
        </w:rPr>
        <w:t>” ou “</w:t>
      </w:r>
      <w:r w:rsidRPr="002B76B2">
        <w:rPr>
          <w:rFonts w:ascii="Calibri" w:hAnsi="Calibri"/>
          <w:sz w:val="22"/>
          <w:u w:val="single"/>
          <w:lang w:val="pt-PT"/>
        </w:rPr>
        <w:t>Serviços</w:t>
      </w:r>
      <w:r w:rsidRPr="002B76B2">
        <w:rPr>
          <w:rFonts w:ascii="Calibri" w:hAnsi="Calibri"/>
          <w:sz w:val="22"/>
          <w:lang w:val="pt-PT"/>
        </w:rPr>
        <w:t>” entende-se os serviço(s) online indicados no início deste SLA e</w:t>
      </w:r>
      <w:r w:rsidR="00B7362F" w:rsidRPr="002B76B2">
        <w:rPr>
          <w:rFonts w:ascii="Calibri" w:hAnsi="Calibri"/>
          <w:sz w:val="22"/>
          <w:lang w:val="pt-PT"/>
        </w:rPr>
        <w:t> </w:t>
      </w:r>
      <w:r w:rsidRPr="002B76B2">
        <w:rPr>
          <w:rFonts w:ascii="Calibri" w:hAnsi="Calibri"/>
          <w:sz w:val="22"/>
          <w:lang w:val="pt-PT"/>
        </w:rPr>
        <w:t>adquiridos pelo Cliente em conformidade com o Contrato</w:t>
      </w:r>
      <w:r w:rsidRPr="002B76B2">
        <w:rPr>
          <w:rFonts w:ascii="Calibri" w:hAnsi="Calibri"/>
          <w:b/>
          <w:sz w:val="22"/>
          <w:lang w:val="pt-PT"/>
        </w:rPr>
        <w:t>.</w:t>
      </w:r>
    </w:p>
    <w:p w:rsidR="00627D84" w:rsidRPr="002B76B2" w:rsidRDefault="00627D84" w:rsidP="00D85BEB">
      <w:pPr>
        <w:pStyle w:val="ListParagraph"/>
        <w:suppressAutoHyphens w:val="0"/>
        <w:autoSpaceDN/>
        <w:spacing w:after="200"/>
        <w:ind w:left="360"/>
        <w:jc w:val="both"/>
        <w:textAlignment w:val="auto"/>
        <w:rPr>
          <w:rFonts w:ascii="Calibri" w:hAnsi="Calibri" w:cs="Calibri"/>
          <w:sz w:val="12"/>
          <w:szCs w:val="12"/>
          <w:lang w:val="pt-BR"/>
        </w:rPr>
      </w:pPr>
    </w:p>
    <w:p w:rsidR="00D465EA" w:rsidRPr="002B76B2" w:rsidRDefault="00E2570F" w:rsidP="00505248">
      <w:pPr>
        <w:pStyle w:val="ListParagraph"/>
        <w:suppressAutoHyphens w:val="0"/>
        <w:autoSpaceDN/>
        <w:spacing w:after="200"/>
        <w:ind w:left="360"/>
        <w:jc w:val="both"/>
        <w:textAlignment w:val="auto"/>
        <w:rPr>
          <w:rFonts w:ascii="Calibri" w:hAnsi="Calibri"/>
          <w:sz w:val="22"/>
          <w:lang w:val="pt-PT"/>
        </w:rPr>
      </w:pPr>
      <w:r w:rsidRPr="002B76B2">
        <w:rPr>
          <w:rFonts w:ascii="Calibri" w:hAnsi="Calibri"/>
          <w:sz w:val="22"/>
          <w:lang w:val="pt-PT"/>
        </w:rPr>
        <w:t>Por “</w:t>
      </w:r>
      <w:r w:rsidRPr="002B76B2">
        <w:rPr>
          <w:rFonts w:ascii="Calibri" w:hAnsi="Calibri"/>
          <w:sz w:val="22"/>
          <w:u w:val="single"/>
          <w:lang w:val="pt-PT"/>
        </w:rPr>
        <w:t>Crédito de Serviço</w:t>
      </w:r>
      <w:r w:rsidRPr="002B76B2">
        <w:rPr>
          <w:rFonts w:ascii="Calibri" w:hAnsi="Calibri"/>
          <w:sz w:val="22"/>
          <w:lang w:val="pt-PT"/>
        </w:rPr>
        <w:t xml:space="preserve">” entende-se a percentagem dos Honorários Mensais dos Serviços Aplicáveis que foram creditados ao Cliente de acordo com a aprovação da </w:t>
      </w:r>
      <w:r w:rsidR="00790EB0" w:rsidRPr="002B76B2">
        <w:rPr>
          <w:rFonts w:ascii="Calibri" w:hAnsi="Calibri"/>
          <w:sz w:val="22"/>
          <w:lang w:val="pt-PT"/>
        </w:rPr>
        <w:t>queixa</w:t>
      </w:r>
      <w:r w:rsidRPr="002B76B2">
        <w:rPr>
          <w:rFonts w:ascii="Calibri" w:hAnsi="Calibri"/>
          <w:sz w:val="22"/>
          <w:lang w:val="pt-PT"/>
        </w:rPr>
        <w:t xml:space="preserve"> da Microsoft.</w:t>
      </w:r>
      <w:r w:rsidR="00D465EA" w:rsidRPr="002B76B2">
        <w:rPr>
          <w:rFonts w:ascii="Calibri" w:hAnsi="Calibri"/>
          <w:sz w:val="22"/>
          <w:lang w:val="pt-PT"/>
        </w:rPr>
        <w:t xml:space="preserve"> </w:t>
      </w:r>
    </w:p>
    <w:p w:rsidR="00627D84" w:rsidRPr="002B76B2" w:rsidRDefault="00627D84" w:rsidP="00D85BEB">
      <w:pPr>
        <w:pStyle w:val="ListParagraph"/>
        <w:suppressAutoHyphens w:val="0"/>
        <w:autoSpaceDN/>
        <w:spacing w:after="200"/>
        <w:ind w:left="360"/>
        <w:jc w:val="both"/>
        <w:textAlignment w:val="auto"/>
        <w:rPr>
          <w:rFonts w:ascii="Calibri" w:hAnsi="Calibri" w:cs="Calibri"/>
          <w:sz w:val="12"/>
          <w:szCs w:val="12"/>
          <w:lang w:val="pt-BR"/>
        </w:rPr>
      </w:pPr>
    </w:p>
    <w:p w:rsidR="002E7163" w:rsidRPr="002B76B2" w:rsidRDefault="00E2570F" w:rsidP="00D85BEB">
      <w:pPr>
        <w:pStyle w:val="ListParagraph"/>
        <w:suppressAutoHyphens w:val="0"/>
        <w:autoSpaceDN/>
        <w:spacing w:after="200"/>
        <w:ind w:left="360"/>
        <w:jc w:val="both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Por “</w:t>
      </w:r>
      <w:r w:rsidRPr="002B76B2">
        <w:rPr>
          <w:rFonts w:ascii="Calibri" w:hAnsi="Calibri"/>
          <w:sz w:val="22"/>
          <w:u w:val="single"/>
          <w:lang w:val="pt-PT"/>
        </w:rPr>
        <w:t>Nível de Serviço</w:t>
      </w:r>
      <w:r w:rsidRPr="002B76B2">
        <w:rPr>
          <w:rFonts w:ascii="Calibri" w:hAnsi="Calibri"/>
          <w:sz w:val="22"/>
          <w:lang w:val="pt-PT"/>
        </w:rPr>
        <w:t xml:space="preserve">” entende-se as métricas de desempenho que a Microsoft concorda em cumprir na </w:t>
      </w:r>
      <w:r w:rsidR="00ED3D5F" w:rsidRPr="002B76B2">
        <w:rPr>
          <w:rFonts w:ascii="Calibri" w:hAnsi="Calibri"/>
          <w:sz w:val="22"/>
          <w:lang w:val="pt-PT"/>
        </w:rPr>
        <w:t>prestação</w:t>
      </w:r>
      <w:r w:rsidRPr="002B76B2">
        <w:rPr>
          <w:rFonts w:ascii="Calibri" w:hAnsi="Calibri"/>
          <w:sz w:val="22"/>
          <w:lang w:val="pt-PT"/>
        </w:rPr>
        <w:t xml:space="preserve"> dos Serviços, por exemplo, disponibilidade mensal, tal como estabelecido neste SLA.</w:t>
      </w:r>
    </w:p>
    <w:p w:rsidR="008C6CF6" w:rsidRPr="002B76B2" w:rsidRDefault="008C6CF6" w:rsidP="00D85BEB">
      <w:pPr>
        <w:pStyle w:val="ListParagraph"/>
        <w:suppressAutoHyphens w:val="0"/>
        <w:autoSpaceDN/>
        <w:spacing w:after="200"/>
        <w:ind w:left="360"/>
        <w:jc w:val="both"/>
        <w:textAlignment w:val="auto"/>
        <w:rPr>
          <w:rFonts w:ascii="Calibri" w:hAnsi="Calibri" w:cs="Calibri"/>
          <w:sz w:val="12"/>
          <w:szCs w:val="12"/>
          <w:lang w:val="pt-BR"/>
        </w:rPr>
      </w:pPr>
    </w:p>
    <w:p w:rsidR="00D465EA" w:rsidRPr="002B76B2" w:rsidRDefault="00E2570F" w:rsidP="00B87F53">
      <w:pPr>
        <w:pStyle w:val="ListParagraph"/>
        <w:suppressAutoHyphens w:val="0"/>
        <w:autoSpaceDN/>
        <w:spacing w:after="200"/>
        <w:ind w:left="360"/>
        <w:jc w:val="both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Por “</w:t>
      </w:r>
      <w:r w:rsidRPr="002B76B2">
        <w:rPr>
          <w:rFonts w:ascii="Calibri" w:hAnsi="Calibri"/>
          <w:sz w:val="22"/>
          <w:u w:val="single"/>
          <w:lang w:val="pt-PT"/>
        </w:rPr>
        <w:t>Minutos de Utilizador</w:t>
      </w:r>
      <w:r w:rsidRPr="002B76B2">
        <w:rPr>
          <w:rFonts w:ascii="Calibri" w:hAnsi="Calibri"/>
          <w:sz w:val="22"/>
          <w:lang w:val="pt-PT"/>
        </w:rPr>
        <w:t>” entende-se o número total de minutos num mês, multiplicado pelo número total de utilizadores.</w:t>
      </w:r>
    </w:p>
    <w:p w:rsidR="00B87F53" w:rsidRPr="002B76B2" w:rsidRDefault="00B87F53" w:rsidP="00B87F53">
      <w:pPr>
        <w:pStyle w:val="ListParagraph"/>
        <w:suppressAutoHyphens w:val="0"/>
        <w:autoSpaceDN/>
        <w:spacing w:after="200"/>
        <w:ind w:left="360"/>
        <w:jc w:val="both"/>
        <w:textAlignment w:val="auto"/>
        <w:rPr>
          <w:rFonts w:ascii="Calibri" w:hAnsi="Calibri" w:cs="Calibri"/>
          <w:sz w:val="12"/>
          <w:szCs w:val="12"/>
          <w:lang w:val="pt-BR"/>
        </w:rPr>
      </w:pPr>
    </w:p>
    <w:p w:rsidR="006131F0" w:rsidRPr="002B76B2" w:rsidRDefault="00E2570F" w:rsidP="001B0D4B">
      <w:pPr>
        <w:pStyle w:val="ListParagraph"/>
        <w:numPr>
          <w:ilvl w:val="0"/>
          <w:numId w:val="7"/>
        </w:numPr>
        <w:tabs>
          <w:tab w:val="left" w:pos="-90"/>
          <w:tab w:val="left" w:pos="0"/>
        </w:tabs>
        <w:jc w:val="both"/>
        <w:rPr>
          <w:rFonts w:ascii="Calibri" w:hAnsi="Calibri" w:cs="Calibri"/>
          <w:b/>
          <w:sz w:val="22"/>
          <w:szCs w:val="22"/>
          <w:lang w:val="pt-BR"/>
        </w:rPr>
      </w:pPr>
      <w:r w:rsidRPr="002B76B2">
        <w:rPr>
          <w:rFonts w:ascii="Calibri" w:hAnsi="Calibri"/>
          <w:b/>
          <w:sz w:val="22"/>
          <w:u w:val="single"/>
          <w:lang w:val="pt-PT"/>
        </w:rPr>
        <w:t>Compromisso de Nível de Serviço</w:t>
      </w:r>
      <w:r w:rsidRPr="002B76B2">
        <w:rPr>
          <w:rFonts w:ascii="Calibri" w:hAnsi="Calibri"/>
          <w:b/>
          <w:sz w:val="22"/>
          <w:lang w:val="pt-PT"/>
        </w:rPr>
        <w:t>.</w:t>
      </w:r>
      <w:r w:rsidR="000D77E2" w:rsidRPr="002B76B2">
        <w:rPr>
          <w:rFonts w:ascii="Calibri" w:hAnsi="Calibri" w:cs="Calibri"/>
          <w:b/>
          <w:sz w:val="22"/>
          <w:szCs w:val="22"/>
          <w:lang w:val="pt-BR"/>
        </w:rPr>
        <w:t xml:space="preserve"> </w:t>
      </w:r>
      <w:r w:rsidRPr="002B76B2">
        <w:rPr>
          <w:rFonts w:ascii="Calibri" w:hAnsi="Calibri"/>
          <w:sz w:val="22"/>
          <w:lang w:val="pt-PT"/>
        </w:rPr>
        <w:t>O mínimo de “Percentagem de Tempo de Atividade Mensal” para um Serviço é calculado através da seguinte fórmula:</w:t>
      </w:r>
    </w:p>
    <w:p w:rsidR="00780084" w:rsidRPr="002B76B2" w:rsidRDefault="00706624" w:rsidP="001B67F2">
      <w:pPr>
        <w:pStyle w:val="ListParagraph"/>
        <w:tabs>
          <w:tab w:val="left" w:pos="6120"/>
        </w:tabs>
        <w:ind w:left="1440"/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noProof/>
          <w:sz w:val="12"/>
          <w:szCs w:val="12"/>
          <w:lang w:eastAsia="zh-CN"/>
        </w:rPr>
        <w:pict>
          <v:group id="_x0000_s1088" style="position:absolute;left:0;text-align:left;margin-left:71.25pt;margin-top:1.85pt;width:342.75pt;height:78.75pt;z-index:1" coordorigin="2865,12718" coordsize="6855,157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4" type="#_x0000_t202" style="position:absolute;left:8175;top:13303;width:1545;height:570" stroked="f">
              <v:textbox style="mso-next-textbox:#_x0000_s1084">
                <w:txbxContent>
                  <w:p w:rsidR="007F72D3" w:rsidRDefault="007F72D3" w:rsidP="007F72D3">
                    <w:r>
                      <w:t>X</w:t>
                    </w:r>
                    <w:r>
                      <w:tab/>
                      <w:t>100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79" type="#_x0000_t32" style="position:absolute;left:2865;top:13543;width:5145;height:1" o:connectortype="straight"/>
            <v:rect id="Rectangle 1" o:spid="_x0000_s1081" style="position:absolute;left:2985;top:12718;width:2190;height:70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" stroked="f" strokeweight="2pt">
              <v:path arrowok="t"/>
              <v:textbox style="mso-next-textbox:#Rectangle 1">
                <w:txbxContent>
                  <w:p w:rsidR="007F72D3" w:rsidRPr="002B76B2" w:rsidRDefault="007F72D3" w:rsidP="002B76B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9A5631">
                      <w:rPr>
                        <w:rFonts w:ascii="Calibri" w:hAnsi="Calibri"/>
                        <w:color w:val="000000"/>
                        <w:kern w:val="24"/>
                        <w:sz w:val="22"/>
                        <w:szCs w:val="22"/>
                      </w:rPr>
                      <w:t>Minutos de Utilizador</w:t>
                    </w:r>
                    <w:r w:rsidRPr="00457DF0">
                      <w:rPr>
                        <w:rFonts w:ascii="Calibri" w:hAnsi="Calibri"/>
                        <w:color w:val="000000"/>
                        <w:kern w:val="24"/>
                        <w:sz w:val="22"/>
                        <w:szCs w:val="22"/>
                      </w:rPr>
                      <w:t xml:space="preserve"> Minutes</w:t>
                    </w:r>
                  </w:p>
                </w:txbxContent>
              </v:textbox>
            </v:rect>
            <v:rect id="Rectangle 1" o:spid="_x0000_s1082" style="position:absolute;left:4275;top:13588;width:2190;height:70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" stroked="f" strokeweight="2pt">
              <v:path arrowok="t"/>
              <v:textbox>
                <w:txbxContent>
                  <w:p w:rsidR="007F72D3" w:rsidRDefault="007F72D3" w:rsidP="007F72D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9A5631">
                      <w:rPr>
                        <w:rFonts w:ascii="Calibri" w:hAnsi="Calibri"/>
                        <w:color w:val="000000"/>
                        <w:kern w:val="24"/>
                        <w:sz w:val="22"/>
                        <w:szCs w:val="22"/>
                      </w:rPr>
                      <w:t>Minutos de Utilizador</w:t>
                    </w:r>
                    <w:r w:rsidRPr="00457DF0">
                      <w:rPr>
                        <w:rFonts w:ascii="Calibri" w:hAnsi="Calibri"/>
                        <w:color w:val="000000"/>
                        <w:kern w:val="24"/>
                        <w:sz w:val="22"/>
                        <w:szCs w:val="22"/>
                      </w:rPr>
                      <w:t xml:space="preserve"> Minutes</w:t>
                    </w:r>
                  </w:p>
                  <w:p w:rsidR="007F72D3" w:rsidRPr="00457DF0" w:rsidRDefault="007F72D3" w:rsidP="007F72D3">
                    <w:pPr>
                      <w:jc w:val="center"/>
                      <w:rPr>
                        <w:rFonts w:ascii="Calibri" w:hAnsi="Calibri"/>
                        <w:color w:val="000000"/>
                        <w:sz w:val="22"/>
                      </w:rPr>
                    </w:pPr>
                  </w:p>
                </w:txbxContent>
              </v:textbox>
            </v:rect>
            <v:rect id="Rectangle 1" o:spid="_x0000_s1083" style="position:absolute;left:5715;top:12748;width:2190;height:70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" stroked="f" strokeweight="2pt">
              <v:path arrowok="t"/>
              <v:textbox>
                <w:txbxContent>
                  <w:p w:rsidR="007F72D3" w:rsidRPr="007F72D3" w:rsidRDefault="007F72D3" w:rsidP="007F72D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/>
                        <w:color w:val="000000"/>
                        <w:kern w:val="24"/>
                        <w:sz w:val="14"/>
                        <w:szCs w:val="14"/>
                      </w:rPr>
                    </w:pPr>
                  </w:p>
                  <w:p w:rsidR="007F72D3" w:rsidRPr="00457DF0" w:rsidRDefault="007F72D3" w:rsidP="007F72D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/>
                        <w:color w:val="000000"/>
                        <w:sz w:val="22"/>
                      </w:rPr>
                    </w:pPr>
                    <w:r>
                      <w:rPr>
                        <w:rFonts w:ascii="Calibri" w:hAnsi="Calibri"/>
                        <w:color w:val="000000"/>
                        <w:kern w:val="24"/>
                        <w:sz w:val="22"/>
                        <w:szCs w:val="22"/>
                      </w:rPr>
                      <w:t>Indisponibilidade</w:t>
                    </w:r>
                    <w:r w:rsidRPr="00457DF0">
                      <w:rPr>
                        <w:rFonts w:ascii="Calibri" w:hAnsi="Calibri"/>
                        <w:color w:val="000000"/>
                        <w:kern w:val="24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rect>
          </v:group>
        </w:pict>
      </w:r>
      <w:r w:rsidR="001B67F2" w:rsidRPr="002B76B2">
        <w:rPr>
          <w:rFonts w:ascii="Calibri" w:hAnsi="Calibri" w:cs="Calibri"/>
          <w:sz w:val="22"/>
          <w:szCs w:val="22"/>
          <w:lang w:val="pt-BR"/>
        </w:rPr>
        <w:tab/>
      </w:r>
    </w:p>
    <w:p w:rsidR="003934EA" w:rsidRPr="002B76B2" w:rsidRDefault="003934EA" w:rsidP="00627D84">
      <w:pPr>
        <w:pStyle w:val="ListParagraph"/>
        <w:ind w:left="1440"/>
        <w:rPr>
          <w:rFonts w:ascii="Calibri" w:hAnsi="Calibri" w:cs="Calibri"/>
          <w:sz w:val="12"/>
          <w:szCs w:val="12"/>
          <w:lang w:val="pt-BR"/>
        </w:rPr>
      </w:pPr>
    </w:p>
    <w:p w:rsidR="005F06C8" w:rsidRPr="002B76B2" w:rsidRDefault="00706624" w:rsidP="00627D84">
      <w:pPr>
        <w:pStyle w:val="ListParagraph"/>
        <w:ind w:left="1440"/>
        <w:rPr>
          <w:rFonts w:ascii="Calibri" w:hAnsi="Calibri" w:cs="Calibri"/>
          <w:sz w:val="12"/>
          <w:szCs w:val="12"/>
          <w:lang w:val="pt-BR"/>
        </w:rPr>
      </w:pPr>
      <w:r>
        <w:rPr>
          <w:rFonts w:ascii="Calibri" w:hAnsi="Calibri" w:cs="Calibri"/>
          <w:noProof/>
          <w:sz w:val="12"/>
          <w:szCs w:val="12"/>
          <w:lang w:eastAsia="zh-CN"/>
        </w:rPr>
        <w:pict>
          <v:shape id="_x0000_s1085" type="#_x0000_t32" style="position:absolute;left:0;text-align:left;margin-left:195.75pt;margin-top:2.95pt;width:8.25pt;height:0;z-index:2" o:connectortype="straight" strokeweight="1.5pt"/>
        </w:pict>
      </w:r>
    </w:p>
    <w:p w:rsidR="007F72D3" w:rsidRPr="002B76B2" w:rsidRDefault="007F72D3" w:rsidP="00627D84">
      <w:pPr>
        <w:pStyle w:val="ListParagraph"/>
        <w:ind w:left="1440"/>
        <w:rPr>
          <w:rFonts w:ascii="Calibri" w:hAnsi="Calibri" w:cs="Calibri"/>
          <w:sz w:val="12"/>
          <w:szCs w:val="12"/>
          <w:lang w:val="pt-BR"/>
        </w:rPr>
      </w:pPr>
    </w:p>
    <w:p w:rsidR="007F72D3" w:rsidRPr="002B76B2" w:rsidRDefault="007F72D3" w:rsidP="00627D84">
      <w:pPr>
        <w:pStyle w:val="ListParagraph"/>
        <w:ind w:left="1440"/>
        <w:rPr>
          <w:rFonts w:ascii="Calibri" w:hAnsi="Calibri" w:cs="Calibri"/>
          <w:sz w:val="12"/>
          <w:szCs w:val="12"/>
          <w:lang w:val="pt-BR"/>
        </w:rPr>
      </w:pPr>
    </w:p>
    <w:p w:rsidR="007F72D3" w:rsidRPr="002B76B2" w:rsidRDefault="007F72D3" w:rsidP="00627D84">
      <w:pPr>
        <w:pStyle w:val="ListParagraph"/>
        <w:ind w:left="1440"/>
        <w:rPr>
          <w:rFonts w:ascii="Calibri" w:hAnsi="Calibri" w:cs="Calibri"/>
          <w:sz w:val="12"/>
          <w:szCs w:val="12"/>
          <w:lang w:val="pt-BR"/>
        </w:rPr>
      </w:pPr>
    </w:p>
    <w:p w:rsidR="007F72D3" w:rsidRPr="002B76B2" w:rsidRDefault="007F72D3" w:rsidP="00627D84">
      <w:pPr>
        <w:pStyle w:val="ListParagraph"/>
        <w:ind w:left="1440"/>
        <w:rPr>
          <w:rFonts w:ascii="Calibri" w:hAnsi="Calibri" w:cs="Calibri"/>
          <w:sz w:val="12"/>
          <w:szCs w:val="12"/>
          <w:lang w:val="pt-BR"/>
        </w:rPr>
      </w:pPr>
    </w:p>
    <w:p w:rsidR="007F72D3" w:rsidRPr="002B76B2" w:rsidRDefault="007F72D3" w:rsidP="00627D84">
      <w:pPr>
        <w:pStyle w:val="ListParagraph"/>
        <w:ind w:left="1440"/>
        <w:rPr>
          <w:rFonts w:ascii="Calibri" w:hAnsi="Calibri" w:cs="Calibri"/>
          <w:sz w:val="12"/>
          <w:szCs w:val="12"/>
          <w:lang w:val="pt-BR"/>
        </w:rPr>
      </w:pPr>
    </w:p>
    <w:p w:rsidR="007F72D3" w:rsidRPr="002B76B2" w:rsidRDefault="007F72D3" w:rsidP="00627D84">
      <w:pPr>
        <w:pStyle w:val="ListParagraph"/>
        <w:ind w:left="1440"/>
        <w:rPr>
          <w:rFonts w:ascii="Calibri" w:hAnsi="Calibri" w:cs="Calibri"/>
          <w:sz w:val="12"/>
          <w:szCs w:val="12"/>
          <w:lang w:val="pt-BR"/>
        </w:rPr>
      </w:pPr>
    </w:p>
    <w:p w:rsidR="007F72D3" w:rsidRPr="002B76B2" w:rsidRDefault="007F72D3" w:rsidP="00627D84">
      <w:pPr>
        <w:pStyle w:val="ListParagraph"/>
        <w:ind w:left="1440"/>
        <w:rPr>
          <w:rFonts w:ascii="Calibri" w:hAnsi="Calibri" w:cs="Calibri"/>
          <w:sz w:val="12"/>
          <w:szCs w:val="12"/>
          <w:lang w:val="pt-BR"/>
        </w:rPr>
      </w:pPr>
    </w:p>
    <w:p w:rsidR="006131F0" w:rsidRPr="002B76B2" w:rsidRDefault="00045AA1" w:rsidP="00B101EE">
      <w:pPr>
        <w:pStyle w:val="productlist"/>
        <w:tabs>
          <w:tab w:val="left" w:pos="360"/>
        </w:tabs>
        <w:spacing w:after="60" w:line="240" w:lineRule="auto"/>
        <w:ind w:left="360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lastRenderedPageBreak/>
        <w:t>Se a Percentagem de Tempo de Atividade Mensal se situar abaixo dos 99,9% durante um determinado mês, o Cliente poderá ficar elegível para o seguinte Crédito de Serviço:</w:t>
      </w:r>
      <w:r w:rsidR="00637C9E" w:rsidRPr="002B76B2">
        <w:rPr>
          <w:rFonts w:ascii="Calibri" w:hAnsi="Calibri" w:cs="Calibri"/>
          <w:sz w:val="22"/>
          <w:szCs w:val="22"/>
          <w:lang w:val="pt-BR"/>
        </w:rPr>
        <w:t xml:space="preserve"> </w:t>
      </w:r>
    </w:p>
    <w:p w:rsidR="00637C9E" w:rsidRPr="002B76B2" w:rsidRDefault="00637C9E" w:rsidP="00627D84">
      <w:pPr>
        <w:pStyle w:val="ListParagraph"/>
        <w:suppressAutoHyphens w:val="0"/>
        <w:autoSpaceDN/>
        <w:spacing w:after="200"/>
        <w:ind w:left="1260"/>
        <w:textAlignment w:val="auto"/>
        <w:rPr>
          <w:rFonts w:ascii="Calibri" w:hAnsi="Calibri" w:cs="Calibri"/>
          <w:sz w:val="12"/>
          <w:szCs w:val="12"/>
          <w:lang w:val="pt-BR"/>
        </w:rPr>
      </w:pPr>
    </w:p>
    <w:tbl>
      <w:tblPr>
        <w:tblW w:w="0" w:type="auto"/>
        <w:tblInd w:w="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61"/>
        <w:gridCol w:w="3655"/>
      </w:tblGrid>
      <w:tr w:rsidR="006131F0" w:rsidRPr="002B76B2">
        <w:tc>
          <w:tcPr>
            <w:tcW w:w="3761" w:type="dxa"/>
            <w:shd w:val="clear" w:color="auto" w:fill="D9D9D9"/>
          </w:tcPr>
          <w:p w:rsidR="006131F0" w:rsidRPr="002B76B2" w:rsidRDefault="00E2570F" w:rsidP="00D352D1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2B76B2">
              <w:rPr>
                <w:rFonts w:ascii="Calibri" w:hAnsi="Calibri"/>
                <w:sz w:val="22"/>
                <w:lang w:val="pt-PT"/>
              </w:rPr>
              <w:t>Percentagem de Tempo de Atividade</w:t>
            </w:r>
            <w:r w:rsidR="00D352D1">
              <w:rPr>
                <w:rFonts w:ascii="Calibri" w:hAnsi="Calibri"/>
                <w:sz w:val="22"/>
                <w:lang w:val="pt-PT"/>
              </w:rPr>
              <w:t> </w:t>
            </w:r>
            <w:r w:rsidRPr="002B76B2">
              <w:rPr>
                <w:rFonts w:ascii="Calibri" w:hAnsi="Calibri"/>
                <w:sz w:val="22"/>
                <w:lang w:val="pt-PT"/>
              </w:rPr>
              <w:t>Mensal</w:t>
            </w:r>
          </w:p>
        </w:tc>
        <w:tc>
          <w:tcPr>
            <w:tcW w:w="3655" w:type="dxa"/>
            <w:shd w:val="clear" w:color="auto" w:fill="D9D9D9"/>
          </w:tcPr>
          <w:p w:rsidR="006131F0" w:rsidRPr="002B76B2" w:rsidRDefault="00E2570F" w:rsidP="00E2570F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/>
                <w:sz w:val="22"/>
                <w:lang w:val="pt-PT"/>
              </w:rPr>
              <w:t>Crédito de Serviço</w:t>
            </w:r>
          </w:p>
        </w:tc>
      </w:tr>
      <w:tr w:rsidR="006131F0" w:rsidRPr="002B76B2">
        <w:tc>
          <w:tcPr>
            <w:tcW w:w="3761" w:type="dxa"/>
          </w:tcPr>
          <w:p w:rsidR="006131F0" w:rsidRPr="002B76B2" w:rsidRDefault="006131F0" w:rsidP="00E2570F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 w:cs="Calibri"/>
                <w:sz w:val="22"/>
                <w:szCs w:val="22"/>
              </w:rPr>
              <w:t xml:space="preserve"> &lt; 99</w:t>
            </w:r>
            <w:r w:rsidR="00E2570F" w:rsidRPr="002B76B2">
              <w:rPr>
                <w:rFonts w:ascii="Calibri" w:hAnsi="Calibri" w:cs="Calibri"/>
                <w:sz w:val="22"/>
                <w:szCs w:val="22"/>
              </w:rPr>
              <w:t>,</w:t>
            </w:r>
            <w:r w:rsidRPr="002B76B2">
              <w:rPr>
                <w:rFonts w:ascii="Calibri" w:hAnsi="Calibri" w:cs="Calibri"/>
                <w:sz w:val="22"/>
                <w:szCs w:val="22"/>
              </w:rPr>
              <w:t>9%</w:t>
            </w:r>
          </w:p>
        </w:tc>
        <w:tc>
          <w:tcPr>
            <w:tcW w:w="3655" w:type="dxa"/>
          </w:tcPr>
          <w:p w:rsidR="006131F0" w:rsidRPr="002B76B2" w:rsidRDefault="006131F0" w:rsidP="00627D8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 w:cs="Calibri"/>
                <w:sz w:val="22"/>
                <w:szCs w:val="22"/>
              </w:rPr>
              <w:t>25%</w:t>
            </w:r>
          </w:p>
        </w:tc>
      </w:tr>
      <w:tr w:rsidR="006131F0" w:rsidRPr="002B76B2">
        <w:tc>
          <w:tcPr>
            <w:tcW w:w="3761" w:type="dxa"/>
          </w:tcPr>
          <w:p w:rsidR="006131F0" w:rsidRPr="002B76B2" w:rsidRDefault="006131F0" w:rsidP="00627D8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 w:cs="Calibri"/>
                <w:sz w:val="22"/>
                <w:szCs w:val="22"/>
              </w:rPr>
              <w:t xml:space="preserve"> &lt; 99%</w:t>
            </w:r>
          </w:p>
        </w:tc>
        <w:tc>
          <w:tcPr>
            <w:tcW w:w="3655" w:type="dxa"/>
          </w:tcPr>
          <w:p w:rsidR="006131F0" w:rsidRPr="002B76B2" w:rsidRDefault="006131F0" w:rsidP="00627D8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 w:cs="Calibri"/>
                <w:sz w:val="22"/>
                <w:szCs w:val="22"/>
              </w:rPr>
              <w:t>50%</w:t>
            </w:r>
          </w:p>
        </w:tc>
      </w:tr>
      <w:tr w:rsidR="006131F0" w:rsidRPr="002B76B2">
        <w:tc>
          <w:tcPr>
            <w:tcW w:w="3761" w:type="dxa"/>
          </w:tcPr>
          <w:p w:rsidR="006131F0" w:rsidRPr="002B76B2" w:rsidRDefault="006131F0" w:rsidP="00627D8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 w:cs="Calibri"/>
                <w:sz w:val="22"/>
                <w:szCs w:val="22"/>
              </w:rPr>
              <w:t>&lt; 95%</w:t>
            </w:r>
          </w:p>
        </w:tc>
        <w:tc>
          <w:tcPr>
            <w:tcW w:w="3655" w:type="dxa"/>
          </w:tcPr>
          <w:p w:rsidR="006131F0" w:rsidRPr="002B76B2" w:rsidRDefault="006131F0" w:rsidP="00627D8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 w:cs="Calibri"/>
                <w:sz w:val="22"/>
                <w:szCs w:val="22"/>
              </w:rPr>
              <w:t>100%</w:t>
            </w:r>
          </w:p>
        </w:tc>
      </w:tr>
    </w:tbl>
    <w:p w:rsidR="006131F0" w:rsidRPr="002B76B2" w:rsidRDefault="006131F0" w:rsidP="00627D84">
      <w:pPr>
        <w:pStyle w:val="ListParagraph"/>
        <w:tabs>
          <w:tab w:val="left" w:pos="-90"/>
          <w:tab w:val="left" w:pos="0"/>
        </w:tabs>
        <w:ind w:left="835"/>
        <w:jc w:val="both"/>
        <w:rPr>
          <w:rFonts w:ascii="Calibri" w:hAnsi="Calibri" w:cs="Calibri"/>
          <w:b/>
          <w:sz w:val="12"/>
          <w:szCs w:val="12"/>
        </w:rPr>
      </w:pPr>
    </w:p>
    <w:p w:rsidR="00FA2C0D" w:rsidRPr="002B76B2" w:rsidRDefault="00FA2C0D" w:rsidP="00925391">
      <w:pPr>
        <w:tabs>
          <w:tab w:val="left" w:pos="-90"/>
          <w:tab w:val="left" w:pos="0"/>
        </w:tabs>
        <w:jc w:val="both"/>
        <w:rPr>
          <w:rFonts w:ascii="Calibri" w:hAnsi="Calibri" w:cs="Calibri"/>
          <w:b/>
          <w:sz w:val="12"/>
          <w:szCs w:val="12"/>
        </w:rPr>
      </w:pPr>
    </w:p>
    <w:p w:rsidR="00EF0F62" w:rsidRPr="002B76B2" w:rsidRDefault="00790EB0" w:rsidP="00841012">
      <w:pPr>
        <w:pStyle w:val="ListParagraph"/>
        <w:numPr>
          <w:ilvl w:val="0"/>
          <w:numId w:val="7"/>
        </w:numPr>
        <w:tabs>
          <w:tab w:val="left" w:pos="-90"/>
          <w:tab w:val="left" w:pos="0"/>
        </w:tabs>
        <w:jc w:val="both"/>
        <w:rPr>
          <w:rFonts w:ascii="Calibri" w:hAnsi="Calibri" w:cs="Calibri"/>
          <w:b/>
          <w:sz w:val="22"/>
          <w:szCs w:val="22"/>
          <w:lang w:val="pt-BR"/>
        </w:rPr>
      </w:pPr>
      <w:r w:rsidRPr="002B76B2">
        <w:rPr>
          <w:rFonts w:ascii="Calibri" w:hAnsi="Calibri"/>
          <w:b/>
          <w:sz w:val="22"/>
          <w:u w:val="single"/>
          <w:lang w:val="pt-PT"/>
        </w:rPr>
        <w:t>Queixa</w:t>
      </w:r>
      <w:r w:rsidR="00E2570F" w:rsidRPr="002B76B2">
        <w:rPr>
          <w:rFonts w:ascii="Calibri" w:hAnsi="Calibri"/>
          <w:b/>
          <w:sz w:val="22"/>
          <w:u w:val="single"/>
          <w:lang w:val="pt-PT"/>
        </w:rPr>
        <w:t xml:space="preserve"> do Crédito de Serviço</w:t>
      </w:r>
      <w:r w:rsidR="00E2570F" w:rsidRPr="002B76B2">
        <w:rPr>
          <w:rFonts w:ascii="Calibri" w:hAnsi="Calibri"/>
          <w:sz w:val="22"/>
          <w:lang w:val="pt-PT"/>
        </w:rPr>
        <w:t>.</w:t>
      </w:r>
      <w:r w:rsidR="006131F0" w:rsidRPr="002B76B2">
        <w:rPr>
          <w:rFonts w:ascii="Calibri" w:hAnsi="Calibri" w:cs="Calibri"/>
          <w:sz w:val="22"/>
          <w:szCs w:val="22"/>
          <w:lang w:val="pt-BR"/>
        </w:rPr>
        <w:t xml:space="preserve"> </w:t>
      </w:r>
      <w:r w:rsidR="00AB1C09" w:rsidRPr="002B76B2">
        <w:rPr>
          <w:rFonts w:ascii="Calibri" w:hAnsi="Calibri"/>
          <w:sz w:val="22"/>
          <w:lang w:val="pt-PT"/>
        </w:rPr>
        <w:t xml:space="preserve">Se a Microsoft não conseguir cumprir o mínimo de Percentagem de Tempo de Atividade Mensal descrita acima para um Serviço, o Cliente poderá submeter uma </w:t>
      </w:r>
      <w:r w:rsidRPr="002B76B2">
        <w:rPr>
          <w:rFonts w:ascii="Calibri" w:hAnsi="Calibri"/>
          <w:sz w:val="22"/>
          <w:lang w:val="pt-PT"/>
        </w:rPr>
        <w:t xml:space="preserve">queixa </w:t>
      </w:r>
      <w:r w:rsidR="00AB1C09" w:rsidRPr="002B76B2">
        <w:rPr>
          <w:rFonts w:ascii="Calibri" w:hAnsi="Calibri"/>
          <w:sz w:val="22"/>
          <w:lang w:val="pt-PT"/>
        </w:rPr>
        <w:t>para um Crédito de Serviço.</w:t>
      </w:r>
      <w:r w:rsidR="006131F0" w:rsidRPr="002B76B2">
        <w:rPr>
          <w:rFonts w:ascii="Calibri" w:hAnsi="Calibri" w:cs="Calibri"/>
          <w:sz w:val="22"/>
          <w:szCs w:val="22"/>
          <w:lang w:val="pt-BR"/>
        </w:rPr>
        <w:t xml:space="preserve"> </w:t>
      </w:r>
    </w:p>
    <w:p w:rsidR="00EF0F62" w:rsidRPr="002B76B2" w:rsidRDefault="00EF0F62" w:rsidP="00B101EE">
      <w:pPr>
        <w:pStyle w:val="ListParagraph"/>
        <w:tabs>
          <w:tab w:val="left" w:pos="-90"/>
          <w:tab w:val="left" w:pos="360"/>
        </w:tabs>
        <w:ind w:left="360" w:hanging="360"/>
        <w:jc w:val="both"/>
        <w:rPr>
          <w:rFonts w:ascii="Calibri" w:hAnsi="Calibri" w:cs="Calibri"/>
          <w:b/>
          <w:sz w:val="12"/>
          <w:szCs w:val="12"/>
          <w:lang w:val="pt-BR"/>
        </w:rPr>
      </w:pPr>
    </w:p>
    <w:p w:rsidR="00EF0F62" w:rsidRPr="002B76B2" w:rsidRDefault="00B101EE" w:rsidP="00751B19">
      <w:pPr>
        <w:pStyle w:val="PargrafodaLista"/>
        <w:autoSpaceDE/>
        <w:adjustRightInd/>
        <w:ind w:left="360" w:hanging="360"/>
        <w:jc w:val="both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 w:cs="Calibri"/>
          <w:sz w:val="22"/>
          <w:szCs w:val="22"/>
          <w:lang w:val="pt-BR"/>
        </w:rPr>
        <w:tab/>
      </w:r>
      <w:r w:rsidR="00E2570F" w:rsidRPr="002B76B2">
        <w:rPr>
          <w:rFonts w:ascii="Calibri" w:hAnsi="Calibri"/>
          <w:sz w:val="22"/>
          <w:lang w:val="pt-PT"/>
        </w:rPr>
        <w:t xml:space="preserve">O Cliente tem de submeter uma </w:t>
      </w:r>
      <w:r w:rsidR="00790EB0" w:rsidRPr="002B76B2">
        <w:rPr>
          <w:rFonts w:ascii="Calibri" w:hAnsi="Calibri"/>
          <w:sz w:val="22"/>
          <w:lang w:val="pt-PT"/>
        </w:rPr>
        <w:t xml:space="preserve">queixa </w:t>
      </w:r>
      <w:r w:rsidR="00E2570F" w:rsidRPr="002B76B2">
        <w:rPr>
          <w:rFonts w:ascii="Calibri" w:hAnsi="Calibri"/>
          <w:sz w:val="22"/>
          <w:lang w:val="pt-PT"/>
        </w:rPr>
        <w:t>ao suporte ao cliente na Microsoft Corporation que inclui:</w:t>
      </w:r>
      <w:r w:rsidR="00EF0F62" w:rsidRPr="002B76B2">
        <w:rPr>
          <w:rFonts w:ascii="Calibri" w:hAnsi="Calibri" w:cs="Calibri"/>
          <w:sz w:val="22"/>
          <w:szCs w:val="22"/>
          <w:lang w:val="pt-BR"/>
        </w:rPr>
        <w:t xml:space="preserve"> </w:t>
      </w:r>
      <w:r w:rsidR="00693EA9" w:rsidRPr="002B76B2">
        <w:rPr>
          <w:rFonts w:ascii="Calibri" w:hAnsi="Calibri"/>
          <w:sz w:val="22"/>
          <w:lang w:val="pt-PT"/>
        </w:rPr>
        <w:t>(i)</w:t>
      </w:r>
      <w:r w:rsidR="00751B19" w:rsidRPr="002B76B2">
        <w:rPr>
          <w:rFonts w:ascii="Calibri" w:hAnsi="Calibri"/>
          <w:sz w:val="22"/>
          <w:lang w:val="pt-PT"/>
        </w:rPr>
        <w:t> </w:t>
      </w:r>
      <w:r w:rsidR="00693EA9" w:rsidRPr="002B76B2">
        <w:rPr>
          <w:rFonts w:ascii="Calibri" w:hAnsi="Calibri"/>
          <w:sz w:val="22"/>
          <w:lang w:val="pt-PT"/>
        </w:rPr>
        <w:t>uma descrição detalhada do Incidente; (ii) informações relativas à duração da Indisponibilidade; (iii) o número e localizações dos utilizadores afetados e (iv) descrições das tentativas do Cliente de resolver o Incidente quando ocorre.</w:t>
      </w:r>
      <w:r w:rsidR="000D77E2" w:rsidRPr="002B76B2">
        <w:rPr>
          <w:rFonts w:ascii="Calibri" w:hAnsi="Calibri" w:cs="Calibri"/>
          <w:sz w:val="22"/>
          <w:szCs w:val="22"/>
          <w:lang w:val="pt-BR"/>
        </w:rPr>
        <w:t xml:space="preserve"> </w:t>
      </w:r>
      <w:r w:rsidR="00693EA9" w:rsidRPr="002B76B2">
        <w:rPr>
          <w:rFonts w:ascii="Calibri" w:hAnsi="Calibri"/>
          <w:sz w:val="22"/>
          <w:lang w:val="pt-PT"/>
        </w:rPr>
        <w:t xml:space="preserve">A Microsoft tem de receber a </w:t>
      </w:r>
      <w:r w:rsidR="00790EB0" w:rsidRPr="002B76B2">
        <w:rPr>
          <w:rFonts w:ascii="Calibri" w:hAnsi="Calibri"/>
          <w:sz w:val="22"/>
          <w:lang w:val="pt-PT"/>
        </w:rPr>
        <w:t xml:space="preserve">queixa </w:t>
      </w:r>
      <w:r w:rsidR="00693EA9" w:rsidRPr="002B76B2">
        <w:rPr>
          <w:rFonts w:ascii="Calibri" w:hAnsi="Calibri"/>
          <w:sz w:val="22"/>
          <w:lang w:val="pt-PT"/>
        </w:rPr>
        <w:t>e todas as informações necessárias no fim do mês de calendário a seguir ao mês em que ocorreu o Incidente.</w:t>
      </w:r>
      <w:r w:rsidR="00CE07F4" w:rsidRPr="002B76B2">
        <w:rPr>
          <w:rFonts w:ascii="Calibri" w:hAnsi="Calibri" w:cs="Calibri"/>
          <w:sz w:val="22"/>
          <w:szCs w:val="22"/>
          <w:lang w:val="pt-BR"/>
        </w:rPr>
        <w:t xml:space="preserve"> </w:t>
      </w:r>
      <w:r w:rsidR="00693EA9" w:rsidRPr="002B76B2">
        <w:rPr>
          <w:rFonts w:ascii="Calibri" w:hAnsi="Calibri"/>
          <w:sz w:val="22"/>
          <w:lang w:val="pt-PT"/>
        </w:rPr>
        <w:t xml:space="preserve">Por exemplo, se o Incidente tiver ocorrido a 15 de fevereiro, a Microsoft tem de receber a </w:t>
      </w:r>
      <w:r w:rsidR="00790EB0" w:rsidRPr="002B76B2">
        <w:rPr>
          <w:rFonts w:ascii="Calibri" w:hAnsi="Calibri"/>
          <w:sz w:val="22"/>
          <w:lang w:val="pt-PT"/>
        </w:rPr>
        <w:t xml:space="preserve">queixa </w:t>
      </w:r>
      <w:r w:rsidR="00693EA9" w:rsidRPr="002B76B2">
        <w:rPr>
          <w:rFonts w:ascii="Calibri" w:hAnsi="Calibri"/>
          <w:sz w:val="22"/>
          <w:lang w:val="pt-PT"/>
        </w:rPr>
        <w:t>e todas as informações necessárias a</w:t>
      </w:r>
      <w:r w:rsidR="004B4FB1" w:rsidRPr="002B76B2">
        <w:rPr>
          <w:rFonts w:ascii="Calibri" w:hAnsi="Calibri"/>
          <w:sz w:val="22"/>
          <w:lang w:val="pt-PT"/>
        </w:rPr>
        <w:t>té</w:t>
      </w:r>
      <w:r w:rsidR="00693EA9" w:rsidRPr="002B76B2">
        <w:rPr>
          <w:rFonts w:ascii="Calibri" w:hAnsi="Calibri"/>
          <w:sz w:val="22"/>
          <w:lang w:val="pt-PT"/>
        </w:rPr>
        <w:t xml:space="preserve"> 31 de março.</w:t>
      </w:r>
      <w:r w:rsidR="000D77E2" w:rsidRPr="002B76B2">
        <w:rPr>
          <w:rFonts w:ascii="Calibri" w:hAnsi="Calibri" w:cs="Calibri"/>
          <w:sz w:val="22"/>
          <w:szCs w:val="22"/>
          <w:lang w:val="pt-BR"/>
        </w:rPr>
        <w:t xml:space="preserve"> </w:t>
      </w:r>
    </w:p>
    <w:p w:rsidR="00EF0F62" w:rsidRPr="002B76B2" w:rsidRDefault="00EF0F62" w:rsidP="00B101EE">
      <w:pPr>
        <w:pStyle w:val="ListParagraph"/>
        <w:tabs>
          <w:tab w:val="left" w:pos="-90"/>
          <w:tab w:val="left" w:pos="360"/>
        </w:tabs>
        <w:ind w:left="360" w:hanging="360"/>
        <w:jc w:val="both"/>
        <w:rPr>
          <w:rFonts w:ascii="Calibri" w:hAnsi="Calibri" w:cs="Calibri"/>
          <w:sz w:val="12"/>
          <w:szCs w:val="12"/>
          <w:lang w:val="pt-BR"/>
        </w:rPr>
      </w:pPr>
    </w:p>
    <w:p w:rsidR="00397379" w:rsidRPr="002B76B2" w:rsidRDefault="00B101EE" w:rsidP="00862707">
      <w:pPr>
        <w:pStyle w:val="PargrafodaLista"/>
        <w:autoSpaceDE/>
        <w:adjustRightInd/>
        <w:ind w:left="360" w:hanging="360"/>
        <w:jc w:val="both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 w:cs="Calibri"/>
          <w:sz w:val="22"/>
          <w:szCs w:val="22"/>
          <w:lang w:val="pt-BR"/>
        </w:rPr>
        <w:tab/>
      </w:r>
      <w:r w:rsidR="00AB1C09" w:rsidRPr="002B76B2">
        <w:rPr>
          <w:rFonts w:ascii="Calibri" w:hAnsi="Calibri"/>
          <w:sz w:val="22"/>
          <w:lang w:val="pt-PT"/>
        </w:rPr>
        <w:t>A Microsoft deverá avaliar todas as informações que foram disponibilizadas de forma razoável e</w:t>
      </w:r>
      <w:r w:rsidR="00862707">
        <w:rPr>
          <w:rFonts w:ascii="Calibri" w:hAnsi="Calibri"/>
          <w:sz w:val="22"/>
          <w:lang w:val="pt-PT"/>
        </w:rPr>
        <w:t> </w:t>
      </w:r>
      <w:r w:rsidR="00AB1C09" w:rsidRPr="002B76B2">
        <w:rPr>
          <w:rFonts w:ascii="Calibri" w:hAnsi="Calibri"/>
          <w:sz w:val="22"/>
          <w:lang w:val="pt-PT"/>
        </w:rPr>
        <w:t>tomar a decisão de boa fé sobre se um Crédito de Serviço é devido.</w:t>
      </w:r>
      <w:r w:rsidR="00EF0F62" w:rsidRPr="002B76B2">
        <w:rPr>
          <w:rFonts w:ascii="Calibri" w:hAnsi="Calibri" w:cs="Calibri"/>
          <w:sz w:val="22"/>
          <w:szCs w:val="22"/>
          <w:lang w:val="pt-BR"/>
        </w:rPr>
        <w:t xml:space="preserve"> </w:t>
      </w:r>
      <w:r w:rsidR="00AB1C09" w:rsidRPr="002B76B2">
        <w:rPr>
          <w:rFonts w:ascii="Calibri" w:hAnsi="Calibri"/>
          <w:sz w:val="22"/>
          <w:lang w:val="pt-PT"/>
        </w:rPr>
        <w:t>A Microsoft vai envidar os esforços possíveis, do ponto de vista comercial, para processar queixas durante o mês a seguir e no prazo de quarenta e cinco (45) dias após a receção.</w:t>
      </w:r>
      <w:r w:rsidR="00A81725" w:rsidRPr="002B76B2">
        <w:rPr>
          <w:rFonts w:ascii="Calibri" w:hAnsi="Calibri" w:cs="Calibri"/>
          <w:sz w:val="22"/>
          <w:szCs w:val="22"/>
          <w:lang w:val="pt-BR"/>
        </w:rPr>
        <w:t xml:space="preserve"> </w:t>
      </w:r>
      <w:r w:rsidR="00AB1C09" w:rsidRPr="002B76B2">
        <w:rPr>
          <w:rFonts w:ascii="Calibri" w:hAnsi="Calibri"/>
          <w:sz w:val="22"/>
          <w:lang w:val="pt-PT"/>
        </w:rPr>
        <w:t>O Cliente tem de estar em conformidade com o</w:t>
      </w:r>
      <w:r w:rsidR="00862707">
        <w:rPr>
          <w:rFonts w:ascii="Calibri" w:hAnsi="Calibri"/>
          <w:sz w:val="22"/>
          <w:lang w:val="pt-PT"/>
        </w:rPr>
        <w:t> </w:t>
      </w:r>
      <w:r w:rsidR="00AB1C09" w:rsidRPr="002B76B2">
        <w:rPr>
          <w:rFonts w:ascii="Calibri" w:hAnsi="Calibri"/>
          <w:sz w:val="22"/>
          <w:lang w:val="pt-PT"/>
        </w:rPr>
        <w:t>Contrato para poder ser considerado elegível para receber um Crédito de Serviço.</w:t>
      </w:r>
      <w:r w:rsidR="007B7D6A" w:rsidRPr="002B76B2">
        <w:rPr>
          <w:rFonts w:ascii="Calibri" w:hAnsi="Calibri" w:cs="Calibri"/>
          <w:sz w:val="22"/>
          <w:szCs w:val="22"/>
          <w:lang w:val="pt-BR"/>
        </w:rPr>
        <w:t xml:space="preserve"> </w:t>
      </w:r>
      <w:r w:rsidR="00AB1C09" w:rsidRPr="002B76B2">
        <w:rPr>
          <w:rFonts w:ascii="Calibri" w:hAnsi="Calibri"/>
          <w:sz w:val="22"/>
          <w:lang w:val="pt-PT"/>
        </w:rPr>
        <w:t>Se a Microsoft determinar que um Crédito de Serviço é devido ao Cliente, este Crédito de Serviço será aplicado aos Honorários Mensais dos Serviços Aplicáveis.</w:t>
      </w:r>
      <w:r w:rsidR="00A81725" w:rsidRPr="002B76B2">
        <w:rPr>
          <w:rFonts w:ascii="Calibri" w:hAnsi="Calibri" w:cs="Calibri"/>
          <w:sz w:val="22"/>
          <w:szCs w:val="22"/>
          <w:lang w:val="pt-BR"/>
        </w:rPr>
        <w:t xml:space="preserve"> </w:t>
      </w:r>
    </w:p>
    <w:p w:rsidR="00397379" w:rsidRPr="002B76B2" w:rsidRDefault="00397379" w:rsidP="00B101EE">
      <w:pPr>
        <w:pStyle w:val="ListParagraph"/>
        <w:tabs>
          <w:tab w:val="left" w:pos="-90"/>
          <w:tab w:val="left" w:pos="360"/>
        </w:tabs>
        <w:ind w:left="360" w:hanging="360"/>
        <w:jc w:val="both"/>
        <w:rPr>
          <w:rFonts w:ascii="Calibri" w:hAnsi="Calibri" w:cs="Calibri"/>
          <w:sz w:val="12"/>
          <w:szCs w:val="12"/>
          <w:lang w:val="pt-BR"/>
        </w:rPr>
      </w:pPr>
    </w:p>
    <w:p w:rsidR="00397379" w:rsidRPr="002B76B2" w:rsidRDefault="00B101EE" w:rsidP="0056727B">
      <w:pPr>
        <w:pStyle w:val="ListParagraph"/>
        <w:tabs>
          <w:tab w:val="left" w:pos="-90"/>
          <w:tab w:val="left" w:pos="360"/>
        </w:tabs>
        <w:ind w:left="360" w:hanging="360"/>
        <w:jc w:val="both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 w:cs="Calibri"/>
          <w:sz w:val="22"/>
          <w:szCs w:val="22"/>
          <w:lang w:val="pt-BR"/>
        </w:rPr>
        <w:tab/>
      </w:r>
      <w:r w:rsidR="00AB1C09" w:rsidRPr="002B76B2">
        <w:rPr>
          <w:rFonts w:ascii="Calibri" w:hAnsi="Calibri"/>
          <w:sz w:val="22"/>
          <w:lang w:val="pt-PT"/>
        </w:rPr>
        <w:t>Se o Cliente tiver adquirido um Serviço a partir de um revendedor, receberá um crédito de serviço diretamente a partir do seu revendedor e este receberá um Crédito de Serviço diretamente da Microsoft.</w:t>
      </w:r>
      <w:r w:rsidR="000D77E2" w:rsidRPr="002B76B2">
        <w:rPr>
          <w:rFonts w:ascii="Calibri" w:hAnsi="Calibri" w:cs="Calibri"/>
          <w:sz w:val="22"/>
          <w:szCs w:val="22"/>
          <w:lang w:val="pt-BR"/>
        </w:rPr>
        <w:t xml:space="preserve"> </w:t>
      </w:r>
      <w:r w:rsidR="00AB1C09" w:rsidRPr="002B76B2">
        <w:rPr>
          <w:rFonts w:ascii="Calibri" w:hAnsi="Calibri"/>
          <w:sz w:val="22"/>
          <w:lang w:val="pt-PT"/>
        </w:rPr>
        <w:t>A Microsoft vai determinar o montante do Crédito de Serviço emitido ao revendedor com base no preço de revenda estimado para o Serviço aplicável.</w:t>
      </w:r>
    </w:p>
    <w:p w:rsidR="00A81725" w:rsidRPr="002B76B2" w:rsidRDefault="00A81725" w:rsidP="00627D84">
      <w:pPr>
        <w:pStyle w:val="ListParagraph"/>
        <w:tabs>
          <w:tab w:val="left" w:pos="-90"/>
          <w:tab w:val="left" w:pos="0"/>
        </w:tabs>
        <w:ind w:left="360"/>
        <w:jc w:val="both"/>
        <w:rPr>
          <w:rFonts w:ascii="Calibri" w:hAnsi="Calibri" w:cs="Calibri"/>
          <w:b/>
          <w:sz w:val="12"/>
          <w:szCs w:val="12"/>
          <w:lang w:val="pt-BR"/>
        </w:rPr>
      </w:pPr>
    </w:p>
    <w:p w:rsidR="00693DFC" w:rsidRPr="002B76B2" w:rsidRDefault="00AB1C09" w:rsidP="00B101EE">
      <w:pPr>
        <w:pStyle w:val="ListParagraph"/>
        <w:numPr>
          <w:ilvl w:val="0"/>
          <w:numId w:val="7"/>
        </w:numPr>
        <w:tabs>
          <w:tab w:val="left" w:pos="360"/>
          <w:tab w:val="left" w:pos="1080"/>
        </w:tabs>
        <w:jc w:val="both"/>
        <w:rPr>
          <w:rFonts w:ascii="Calibri" w:hAnsi="Calibri" w:cs="Calibri"/>
          <w:b/>
          <w:sz w:val="22"/>
          <w:szCs w:val="22"/>
        </w:rPr>
      </w:pPr>
      <w:r w:rsidRPr="002B76B2">
        <w:rPr>
          <w:rFonts w:ascii="Calibri" w:hAnsi="Calibri"/>
          <w:b/>
          <w:sz w:val="22"/>
          <w:u w:val="single"/>
          <w:lang w:val="pt-PT"/>
        </w:rPr>
        <w:t>Limitações</w:t>
      </w:r>
      <w:r w:rsidRPr="002B76B2">
        <w:rPr>
          <w:rFonts w:ascii="Calibri" w:hAnsi="Calibri"/>
          <w:b/>
          <w:sz w:val="22"/>
          <w:lang w:val="pt-PT"/>
        </w:rPr>
        <w:t>.</w:t>
      </w:r>
      <w:r w:rsidR="006131F0" w:rsidRPr="002B76B2">
        <w:rPr>
          <w:rFonts w:ascii="Calibri" w:hAnsi="Calibri" w:cs="Calibri"/>
          <w:b/>
          <w:sz w:val="22"/>
          <w:szCs w:val="22"/>
        </w:rPr>
        <w:t xml:space="preserve"> </w:t>
      </w:r>
    </w:p>
    <w:p w:rsidR="00693DFC" w:rsidRPr="002B76B2" w:rsidRDefault="00693DFC" w:rsidP="00627D84">
      <w:pPr>
        <w:pStyle w:val="ListParagraph"/>
        <w:tabs>
          <w:tab w:val="left" w:pos="-90"/>
          <w:tab w:val="left" w:pos="0"/>
        </w:tabs>
        <w:ind w:left="360"/>
        <w:jc w:val="both"/>
        <w:rPr>
          <w:rFonts w:ascii="Calibri" w:hAnsi="Calibri" w:cs="Calibri"/>
          <w:b/>
          <w:sz w:val="12"/>
          <w:szCs w:val="12"/>
        </w:rPr>
      </w:pPr>
    </w:p>
    <w:p w:rsidR="006131F0" w:rsidRPr="002B76B2" w:rsidRDefault="00964374" w:rsidP="00431708">
      <w:pPr>
        <w:pStyle w:val="ListParagraph"/>
        <w:numPr>
          <w:ilvl w:val="0"/>
          <w:numId w:val="11"/>
        </w:numPr>
        <w:tabs>
          <w:tab w:val="left" w:pos="-90"/>
          <w:tab w:val="left" w:pos="0"/>
        </w:tabs>
        <w:jc w:val="both"/>
        <w:rPr>
          <w:rFonts w:ascii="Calibri" w:hAnsi="Calibri" w:cs="Calibri"/>
          <w:b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 xml:space="preserve">O presente SLA e quaisquer Níveis de Serviço aplicáveis </w:t>
      </w:r>
      <w:r w:rsidRPr="002B76B2">
        <w:rPr>
          <w:rFonts w:ascii="Calibri" w:hAnsi="Calibri"/>
          <w:sz w:val="22"/>
          <w:u w:val="single"/>
          <w:lang w:val="pt-PT"/>
        </w:rPr>
        <w:t>não</w:t>
      </w:r>
      <w:r w:rsidRPr="002B76B2">
        <w:rPr>
          <w:rFonts w:ascii="Calibri" w:hAnsi="Calibri"/>
          <w:sz w:val="22"/>
          <w:lang w:val="pt-PT"/>
        </w:rPr>
        <w:t xml:space="preserve"> se aplicam a quaisquer problemas de desempenho ou de disponibilidade:</w:t>
      </w:r>
    </w:p>
    <w:p w:rsidR="00693DFC" w:rsidRPr="002B76B2" w:rsidRDefault="00693DFC" w:rsidP="00627D84">
      <w:pPr>
        <w:pStyle w:val="ListParagraph"/>
        <w:tabs>
          <w:tab w:val="left" w:pos="-90"/>
          <w:tab w:val="left" w:pos="0"/>
        </w:tabs>
        <w:jc w:val="both"/>
        <w:rPr>
          <w:rFonts w:ascii="Calibri" w:hAnsi="Calibri" w:cs="Calibri"/>
          <w:b/>
          <w:sz w:val="12"/>
          <w:szCs w:val="12"/>
          <w:lang w:val="pt-BR"/>
        </w:rPr>
      </w:pPr>
    </w:p>
    <w:p w:rsidR="00693DFC" w:rsidRPr="002B76B2" w:rsidRDefault="00964374" w:rsidP="00EC51CC">
      <w:pPr>
        <w:pStyle w:val="ListParagraph"/>
        <w:numPr>
          <w:ilvl w:val="2"/>
          <w:numId w:val="7"/>
        </w:numPr>
        <w:tabs>
          <w:tab w:val="left" w:pos="-90"/>
          <w:tab w:val="left" w:pos="0"/>
        </w:tabs>
        <w:ind w:left="1170" w:hanging="270"/>
        <w:jc w:val="both"/>
        <w:rPr>
          <w:rFonts w:ascii="Calibri" w:hAnsi="Calibri" w:cs="Calibri"/>
          <w:b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Devido a fatores fora do controlo da Microsoft;</w:t>
      </w:r>
    </w:p>
    <w:p w:rsidR="00693DFC" w:rsidRPr="002B76B2" w:rsidRDefault="00964374" w:rsidP="00EC51CC">
      <w:pPr>
        <w:pStyle w:val="ListParagraph"/>
        <w:numPr>
          <w:ilvl w:val="2"/>
          <w:numId w:val="7"/>
        </w:numPr>
        <w:tabs>
          <w:tab w:val="left" w:pos="-90"/>
          <w:tab w:val="left" w:pos="0"/>
        </w:tabs>
        <w:ind w:left="1170" w:hanging="270"/>
        <w:jc w:val="both"/>
        <w:rPr>
          <w:rFonts w:ascii="Calibri" w:hAnsi="Calibri" w:cs="Calibri"/>
          <w:b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Que resultem do hardware ou software do Cliente ou de terceiros;</w:t>
      </w:r>
    </w:p>
    <w:p w:rsidR="00693DFC" w:rsidRPr="002B76B2" w:rsidRDefault="00964374" w:rsidP="00EC51CC">
      <w:pPr>
        <w:pStyle w:val="ListParagraph"/>
        <w:numPr>
          <w:ilvl w:val="2"/>
          <w:numId w:val="7"/>
        </w:numPr>
        <w:tabs>
          <w:tab w:val="left" w:pos="-90"/>
          <w:tab w:val="left" w:pos="0"/>
        </w:tabs>
        <w:ind w:left="1170" w:hanging="270"/>
        <w:jc w:val="both"/>
        <w:rPr>
          <w:rFonts w:ascii="Calibri" w:hAnsi="Calibri" w:cs="Calibri"/>
          <w:b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Provocados pela utilização que o Cliente faz de um Serviço depois de ter sido aconselhado pela Microsoft a modificar a utilização do mesmo e se não tiver modificado a sua utilização consoante aconselhado;</w:t>
      </w:r>
    </w:p>
    <w:p w:rsidR="00693DFC" w:rsidRPr="002B76B2" w:rsidRDefault="00964374" w:rsidP="00EC51CC">
      <w:pPr>
        <w:pStyle w:val="ListParagraph"/>
        <w:numPr>
          <w:ilvl w:val="2"/>
          <w:numId w:val="7"/>
        </w:numPr>
        <w:tabs>
          <w:tab w:val="left" w:pos="-90"/>
          <w:tab w:val="left" w:pos="0"/>
        </w:tabs>
        <w:ind w:left="1170" w:hanging="270"/>
        <w:jc w:val="both"/>
        <w:rPr>
          <w:rFonts w:ascii="Calibri" w:hAnsi="Calibri" w:cs="Calibri"/>
          <w:b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Durante a fase de pré-disponibilização, dos Serviços beta e de avaliação (consoante determinado pela Microsoft);</w:t>
      </w:r>
    </w:p>
    <w:p w:rsidR="00693DFC" w:rsidRPr="002B76B2" w:rsidRDefault="00964374" w:rsidP="00EC51CC">
      <w:pPr>
        <w:pStyle w:val="ListParagraph"/>
        <w:numPr>
          <w:ilvl w:val="2"/>
          <w:numId w:val="7"/>
        </w:numPr>
        <w:tabs>
          <w:tab w:val="left" w:pos="-90"/>
          <w:tab w:val="left" w:pos="0"/>
        </w:tabs>
        <w:ind w:left="1170" w:hanging="270"/>
        <w:jc w:val="both"/>
        <w:rPr>
          <w:rFonts w:ascii="Calibri" w:hAnsi="Calibri" w:cs="Calibri"/>
          <w:b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Que resultem da inação ou ação não autorizada do Cliente ou dos respetivos empregados, agentes, contratantes ou fornecedores, ou qualquer pessoa que obtenha acesso à rede da Microsoft através das palavras-passe ou do equipamento do Cliente; ou</w:t>
      </w:r>
    </w:p>
    <w:p w:rsidR="00C17827" w:rsidRPr="002B76B2" w:rsidRDefault="00964374" w:rsidP="00EC51CC">
      <w:pPr>
        <w:pStyle w:val="ListParagraph"/>
        <w:numPr>
          <w:ilvl w:val="2"/>
          <w:numId w:val="7"/>
        </w:numPr>
        <w:tabs>
          <w:tab w:val="left" w:pos="-90"/>
          <w:tab w:val="left" w:pos="0"/>
        </w:tabs>
        <w:ind w:left="1170" w:hanging="270"/>
        <w:jc w:val="both"/>
        <w:rPr>
          <w:rFonts w:ascii="Calibri" w:hAnsi="Calibri" w:cs="Calibri"/>
          <w:b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lastRenderedPageBreak/>
        <w:t>Que resultem da falha do Cliente em respeitar quaisquer configurações necessárias, em utilizar plataformas suportadas e de seguir quaisquer políticas para utilização aceitável.</w:t>
      </w:r>
    </w:p>
    <w:p w:rsidR="00E70284" w:rsidRPr="002B76B2" w:rsidRDefault="00E70284" w:rsidP="00627D84">
      <w:pPr>
        <w:tabs>
          <w:tab w:val="left" w:pos="-90"/>
          <w:tab w:val="left" w:pos="0"/>
        </w:tabs>
        <w:jc w:val="both"/>
        <w:rPr>
          <w:rFonts w:ascii="Calibri" w:hAnsi="Calibri" w:cs="Calibri"/>
          <w:b/>
          <w:sz w:val="12"/>
          <w:szCs w:val="12"/>
          <w:lang w:val="pt-BR"/>
        </w:rPr>
      </w:pPr>
    </w:p>
    <w:p w:rsidR="00925391" w:rsidRPr="002B76B2" w:rsidRDefault="00964374" w:rsidP="00862707">
      <w:pPr>
        <w:pStyle w:val="ListParagraph"/>
        <w:numPr>
          <w:ilvl w:val="0"/>
          <w:numId w:val="11"/>
        </w:numPr>
        <w:tabs>
          <w:tab w:val="left" w:pos="-90"/>
          <w:tab w:val="left" w:pos="0"/>
          <w:tab w:val="left" w:pos="360"/>
        </w:tabs>
        <w:jc w:val="both"/>
        <w:rPr>
          <w:rFonts w:ascii="Calibri" w:hAnsi="Calibri" w:cs="Calibri"/>
          <w:b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Os Créditos de Serviço são da única e exclusiva responsabilidade do Cliente no que diz respeito a</w:t>
      </w:r>
      <w:r w:rsidR="00862707">
        <w:rPr>
          <w:rFonts w:ascii="Calibri" w:hAnsi="Calibri"/>
          <w:sz w:val="22"/>
          <w:lang w:val="pt-PT"/>
        </w:rPr>
        <w:t> </w:t>
      </w:r>
      <w:r w:rsidRPr="002B76B2">
        <w:rPr>
          <w:rFonts w:ascii="Calibri" w:hAnsi="Calibri"/>
          <w:sz w:val="22"/>
          <w:lang w:val="pt-PT"/>
        </w:rPr>
        <w:t>problemas de desempenho ou de disponibilidade de qualquer Serviço ao abrigo do Contrato e</w:t>
      </w:r>
      <w:r w:rsidR="00862707">
        <w:rPr>
          <w:rFonts w:ascii="Calibri" w:hAnsi="Calibri"/>
          <w:sz w:val="22"/>
          <w:lang w:val="pt-PT"/>
        </w:rPr>
        <w:t> </w:t>
      </w:r>
      <w:r w:rsidRPr="002B76B2">
        <w:rPr>
          <w:rFonts w:ascii="Calibri" w:hAnsi="Calibri"/>
          <w:sz w:val="22"/>
          <w:lang w:val="pt-PT"/>
        </w:rPr>
        <w:t>deste SLA.</w:t>
      </w:r>
      <w:r w:rsidR="00EA29C2" w:rsidRPr="002B76B2">
        <w:rPr>
          <w:rFonts w:ascii="Calibri" w:hAnsi="Calibri" w:cs="Calibri"/>
          <w:sz w:val="22"/>
          <w:szCs w:val="22"/>
          <w:lang w:val="pt-BR"/>
        </w:rPr>
        <w:t xml:space="preserve"> </w:t>
      </w:r>
      <w:r w:rsidRPr="002B76B2">
        <w:rPr>
          <w:rFonts w:ascii="Calibri" w:hAnsi="Calibri"/>
          <w:sz w:val="22"/>
          <w:lang w:val="pt-PT"/>
        </w:rPr>
        <w:t>O Cliente não pode, de forma unilateral, optar por utilizar os Honorários Mensais dos Serviços Aplicáveis na resolução de quaisquer problemas de desempenho ou de disponibilidade.</w:t>
      </w:r>
    </w:p>
    <w:p w:rsidR="00C6369E" w:rsidRPr="002B76B2" w:rsidRDefault="00C6369E" w:rsidP="00C6369E">
      <w:pPr>
        <w:tabs>
          <w:tab w:val="left" w:pos="-90"/>
          <w:tab w:val="left" w:pos="0"/>
          <w:tab w:val="left" w:pos="360"/>
        </w:tabs>
        <w:ind w:left="360"/>
        <w:jc w:val="both"/>
        <w:rPr>
          <w:rFonts w:ascii="Calibri" w:hAnsi="Calibri" w:cs="Calibri"/>
          <w:b/>
          <w:sz w:val="12"/>
          <w:szCs w:val="12"/>
          <w:lang w:val="pt-BR"/>
        </w:rPr>
      </w:pPr>
    </w:p>
    <w:p w:rsidR="00693DFC" w:rsidRPr="002B76B2" w:rsidRDefault="00964374" w:rsidP="00925391">
      <w:pPr>
        <w:pStyle w:val="ListParagraph"/>
        <w:numPr>
          <w:ilvl w:val="0"/>
          <w:numId w:val="11"/>
        </w:numPr>
        <w:tabs>
          <w:tab w:val="left" w:pos="-90"/>
          <w:tab w:val="left" w:pos="0"/>
          <w:tab w:val="left" w:pos="360"/>
        </w:tabs>
        <w:jc w:val="both"/>
        <w:rPr>
          <w:rFonts w:ascii="Calibri" w:hAnsi="Calibri" w:cs="Calibri"/>
          <w:b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 xml:space="preserve">O presente SLA não é aplicável a qualquer software licenciado no local que esteja incluído </w:t>
      </w:r>
      <w:smartTag w:uri="urn:schemas-microsoft-com:office:smarttags" w:element="PersonName">
        <w:smartTagPr>
          <w:attr w:name="ProductID" w:val="em qualquer Servi￧o.:"/>
        </w:smartTagPr>
        <w:r w:rsidRPr="002B76B2">
          <w:rPr>
            <w:rFonts w:ascii="Calibri" w:hAnsi="Calibri"/>
            <w:sz w:val="22"/>
            <w:lang w:val="pt-PT"/>
          </w:rPr>
          <w:t>em qualquer Serviço.</w:t>
        </w:r>
      </w:smartTag>
      <w:r w:rsidR="00EA29C2" w:rsidRPr="002B76B2">
        <w:rPr>
          <w:rFonts w:ascii="Calibri" w:hAnsi="Calibri" w:cs="Calibri"/>
          <w:sz w:val="22"/>
          <w:szCs w:val="22"/>
          <w:lang w:val="pt-BR"/>
        </w:rPr>
        <w:t xml:space="preserve"> </w:t>
      </w:r>
    </w:p>
    <w:p w:rsidR="00637C9E" w:rsidRPr="002B76B2" w:rsidRDefault="00637C9E" w:rsidP="00627D84">
      <w:pPr>
        <w:pStyle w:val="ListParagraph"/>
        <w:rPr>
          <w:rFonts w:ascii="Calibri" w:hAnsi="Calibri" w:cs="Calibri"/>
          <w:b/>
          <w:sz w:val="12"/>
          <w:szCs w:val="12"/>
          <w:lang w:val="pt-BR"/>
        </w:rPr>
      </w:pPr>
    </w:p>
    <w:p w:rsidR="00A91B06" w:rsidRPr="002B76B2" w:rsidRDefault="00964374" w:rsidP="00B101EE">
      <w:pPr>
        <w:pStyle w:val="ListParagraph"/>
        <w:numPr>
          <w:ilvl w:val="0"/>
          <w:numId w:val="7"/>
        </w:numPr>
        <w:tabs>
          <w:tab w:val="left" w:pos="-90"/>
          <w:tab w:val="left" w:pos="360"/>
        </w:tabs>
        <w:jc w:val="both"/>
        <w:rPr>
          <w:rFonts w:ascii="Calibri" w:hAnsi="Calibri" w:cs="Calibri"/>
          <w:b/>
          <w:sz w:val="22"/>
          <w:szCs w:val="22"/>
          <w:lang w:val="pt-BR"/>
        </w:rPr>
      </w:pPr>
      <w:r w:rsidRPr="002B76B2">
        <w:rPr>
          <w:rFonts w:ascii="Calibri" w:hAnsi="Calibri"/>
          <w:b/>
          <w:sz w:val="22"/>
          <w:u w:val="single"/>
          <w:lang w:val="pt-PT"/>
        </w:rPr>
        <w:t>Compra de Vários Serviços</w:t>
      </w:r>
      <w:r w:rsidRPr="002B76B2">
        <w:rPr>
          <w:rFonts w:ascii="Calibri" w:hAnsi="Calibri"/>
          <w:b/>
          <w:sz w:val="22"/>
          <w:lang w:val="pt-PT"/>
        </w:rPr>
        <w:t>.</w:t>
      </w:r>
      <w:r w:rsidR="00637C9E" w:rsidRPr="002B76B2">
        <w:rPr>
          <w:rFonts w:ascii="Calibri" w:hAnsi="Calibri" w:cs="Calibri"/>
          <w:b/>
          <w:sz w:val="22"/>
          <w:szCs w:val="22"/>
          <w:lang w:val="pt-BR"/>
        </w:rPr>
        <w:t xml:space="preserve"> </w:t>
      </w:r>
      <w:r w:rsidRPr="002B76B2">
        <w:rPr>
          <w:rFonts w:ascii="Calibri" w:hAnsi="Calibri"/>
          <w:sz w:val="22"/>
          <w:lang w:val="pt-PT"/>
        </w:rPr>
        <w:t>Se o Cliente tiver adquirido mais do que um Servico listado na Secção 1 acima (não como um conjunto de aplicações), então poderá submeter queixas em conformidade com o processo acima descrito na Secção 4, como se cada Serviço fosse abrangido por um SLA individual.</w:t>
      </w:r>
      <w:r w:rsidR="00637C9E" w:rsidRPr="002B76B2">
        <w:rPr>
          <w:rFonts w:ascii="Calibri" w:hAnsi="Calibri" w:cs="Calibri"/>
          <w:sz w:val="22"/>
          <w:szCs w:val="22"/>
          <w:lang w:val="pt-BR"/>
        </w:rPr>
        <w:t xml:space="preserve"> </w:t>
      </w:r>
      <w:r w:rsidR="00705266" w:rsidRPr="002B76B2">
        <w:rPr>
          <w:rFonts w:ascii="Calibri" w:hAnsi="Calibri"/>
          <w:sz w:val="22"/>
          <w:lang w:val="pt-PT"/>
        </w:rPr>
        <w:t xml:space="preserve">Por exemplo, se o Cliente tiver adquirido o Exchange Online e SharePoint Online (sem fazerem parte de um conjunto) e durante a vigência da subscrição um Incidente tiver causado a Indisponibilidade de ambos os Serviços, nesse caso o Cliente poderá ser elegível para dois Créditos de Serviço separados (um para cada Serviço), ao submeter duas </w:t>
      </w:r>
      <w:r w:rsidR="00790EB0" w:rsidRPr="002B76B2">
        <w:rPr>
          <w:rFonts w:ascii="Calibri" w:hAnsi="Calibri"/>
          <w:sz w:val="22"/>
          <w:lang w:val="pt-PT"/>
        </w:rPr>
        <w:t>queixa</w:t>
      </w:r>
      <w:r w:rsidR="00705266" w:rsidRPr="002B76B2">
        <w:rPr>
          <w:rFonts w:ascii="Calibri" w:hAnsi="Calibri"/>
          <w:sz w:val="22"/>
          <w:lang w:val="pt-PT"/>
        </w:rPr>
        <w:t>s ao abrigo deste SLA.</w:t>
      </w:r>
      <w:r w:rsidR="000D77E2" w:rsidRPr="002B76B2">
        <w:rPr>
          <w:rFonts w:ascii="Calibri" w:hAnsi="Calibri" w:cs="Calibri"/>
          <w:sz w:val="22"/>
          <w:szCs w:val="22"/>
          <w:lang w:val="pt-BR"/>
        </w:rPr>
        <w:t xml:space="preserve"> </w:t>
      </w:r>
    </w:p>
    <w:p w:rsidR="00A91B06" w:rsidRPr="002B76B2" w:rsidRDefault="00A91B06" w:rsidP="00627D84">
      <w:pPr>
        <w:pStyle w:val="ListParagraph"/>
        <w:tabs>
          <w:tab w:val="left" w:pos="-90"/>
          <w:tab w:val="left" w:pos="0"/>
        </w:tabs>
        <w:ind w:left="360"/>
        <w:jc w:val="both"/>
        <w:rPr>
          <w:rFonts w:ascii="Calibri" w:hAnsi="Calibri" w:cs="Calibri"/>
          <w:b/>
          <w:sz w:val="12"/>
          <w:szCs w:val="12"/>
          <w:lang w:val="pt-BR"/>
        </w:rPr>
      </w:pPr>
    </w:p>
    <w:p w:rsidR="00B0672D" w:rsidRPr="002B76B2" w:rsidRDefault="00705266" w:rsidP="00B6194D">
      <w:pPr>
        <w:pStyle w:val="ListParagraph"/>
        <w:numPr>
          <w:ilvl w:val="0"/>
          <w:numId w:val="7"/>
        </w:numPr>
        <w:tabs>
          <w:tab w:val="left" w:pos="-90"/>
          <w:tab w:val="left" w:pos="360"/>
          <w:tab w:val="left" w:pos="1080"/>
        </w:tabs>
        <w:jc w:val="both"/>
        <w:rPr>
          <w:rFonts w:ascii="Calibri" w:hAnsi="Calibri" w:cs="Calibri"/>
          <w:b/>
          <w:sz w:val="22"/>
          <w:szCs w:val="22"/>
          <w:lang w:val="pt-BR"/>
        </w:rPr>
      </w:pPr>
      <w:r w:rsidRPr="002B76B2">
        <w:rPr>
          <w:rFonts w:ascii="Calibri" w:hAnsi="Calibri"/>
          <w:b/>
          <w:sz w:val="22"/>
          <w:u w:val="single"/>
          <w:lang w:val="pt-PT"/>
        </w:rPr>
        <w:t>Compra de Vários Serviços como um Conjunto</w:t>
      </w:r>
      <w:r w:rsidRPr="002B76B2">
        <w:rPr>
          <w:rFonts w:ascii="Calibri" w:hAnsi="Calibri"/>
          <w:b/>
          <w:sz w:val="22"/>
          <w:lang w:val="pt-PT"/>
        </w:rPr>
        <w:t>.</w:t>
      </w:r>
      <w:r w:rsidR="00A91B06" w:rsidRPr="002B76B2">
        <w:rPr>
          <w:rFonts w:ascii="Calibri" w:hAnsi="Calibri" w:cs="Calibri"/>
          <w:sz w:val="22"/>
          <w:szCs w:val="22"/>
          <w:lang w:val="pt-BR"/>
        </w:rPr>
        <w:t xml:space="preserve"> </w:t>
      </w:r>
      <w:r w:rsidRPr="002B76B2">
        <w:rPr>
          <w:rFonts w:ascii="Calibri" w:hAnsi="Calibri"/>
          <w:sz w:val="22"/>
          <w:lang w:val="pt-PT"/>
        </w:rPr>
        <w:t>No caso de Serviços adquiridos como fazendo parte de um conjunto, os Honorários Mensais dos Serviços Aplicáveis e o Crédito de Serviço para cada serviço serão proporcionais.</w:t>
      </w:r>
      <w:r w:rsidR="00A91B06" w:rsidRPr="002B76B2">
        <w:rPr>
          <w:rFonts w:ascii="Calibri" w:hAnsi="Calibri" w:cs="Calibri"/>
          <w:sz w:val="22"/>
          <w:szCs w:val="22"/>
          <w:lang w:val="pt-BR"/>
        </w:rPr>
        <w:t xml:space="preserve"> </w:t>
      </w:r>
    </w:p>
    <w:p w:rsidR="0056554B" w:rsidRPr="002B76B2" w:rsidRDefault="0056554B" w:rsidP="00627D84">
      <w:pPr>
        <w:tabs>
          <w:tab w:val="left" w:pos="-90"/>
          <w:tab w:val="left" w:pos="0"/>
        </w:tabs>
        <w:jc w:val="both"/>
        <w:rPr>
          <w:rFonts w:ascii="Calibri" w:hAnsi="Calibri" w:cs="Calibri"/>
          <w:b/>
          <w:sz w:val="12"/>
          <w:szCs w:val="12"/>
          <w:lang w:val="pt-BR"/>
        </w:rPr>
      </w:pPr>
    </w:p>
    <w:p w:rsidR="00F158EA" w:rsidRPr="002B76B2" w:rsidRDefault="00705266" w:rsidP="00B6194D">
      <w:pPr>
        <w:pStyle w:val="ListParagraph"/>
        <w:numPr>
          <w:ilvl w:val="0"/>
          <w:numId w:val="7"/>
        </w:numPr>
        <w:tabs>
          <w:tab w:val="left" w:pos="-90"/>
          <w:tab w:val="left" w:pos="0"/>
        </w:tabs>
        <w:jc w:val="both"/>
        <w:rPr>
          <w:rFonts w:ascii="Calibri" w:hAnsi="Calibri" w:cs="Calibri"/>
          <w:b/>
          <w:sz w:val="22"/>
          <w:szCs w:val="22"/>
          <w:lang w:val="pt-BR"/>
        </w:rPr>
      </w:pPr>
      <w:r w:rsidRPr="002B76B2">
        <w:rPr>
          <w:rFonts w:ascii="Calibri" w:hAnsi="Calibri"/>
          <w:b/>
          <w:sz w:val="22"/>
          <w:u w:val="single"/>
          <w:lang w:val="pt-PT"/>
        </w:rPr>
        <w:t>Exceções e Termos Adicionais para Serviços Específicos</w:t>
      </w:r>
      <w:r w:rsidRPr="00D352D1">
        <w:rPr>
          <w:rFonts w:ascii="Calibri" w:hAnsi="Calibri"/>
          <w:sz w:val="22"/>
          <w:lang w:val="pt-PT"/>
        </w:rPr>
        <w:t>.</w:t>
      </w:r>
    </w:p>
    <w:p w:rsidR="00EB41CA" w:rsidRPr="002B76B2" w:rsidRDefault="00EB41CA" w:rsidP="00627D84">
      <w:pPr>
        <w:rPr>
          <w:rFonts w:ascii="Calibri" w:hAnsi="Calibri" w:cs="Calibri"/>
          <w:sz w:val="12"/>
          <w:szCs w:val="12"/>
          <w:lang w:val="pt-BR"/>
        </w:rPr>
      </w:pPr>
    </w:p>
    <w:p w:rsidR="009E2248" w:rsidRPr="002B76B2" w:rsidRDefault="00705266" w:rsidP="00574183">
      <w:pPr>
        <w:pStyle w:val="ListParagraph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2B76B2">
        <w:rPr>
          <w:rFonts w:ascii="Calibri" w:hAnsi="Calibri"/>
          <w:b/>
          <w:sz w:val="22"/>
          <w:lang w:val="pt-PT"/>
        </w:rPr>
        <w:t>Para Exchange Online, Arquivo de Exchange Online e Forefront Online Protection for Exchange (“FOPE”)</w:t>
      </w:r>
      <w:r w:rsidRPr="002B76B2">
        <w:rPr>
          <w:rFonts w:ascii="Calibri" w:hAnsi="Calibri"/>
          <w:sz w:val="22"/>
          <w:lang w:val="pt-PT"/>
        </w:rPr>
        <w:t>:</w:t>
      </w:r>
    </w:p>
    <w:p w:rsidR="009E2248" w:rsidRPr="002B76B2" w:rsidRDefault="009E2248" w:rsidP="00574183">
      <w:pPr>
        <w:pStyle w:val="ListParagraph"/>
        <w:rPr>
          <w:rFonts w:ascii="Calibri" w:hAnsi="Calibri" w:cs="Calibri"/>
          <w:sz w:val="22"/>
          <w:szCs w:val="22"/>
        </w:rPr>
      </w:pPr>
    </w:p>
    <w:p w:rsidR="000452AB" w:rsidRPr="002B76B2" w:rsidRDefault="00705266" w:rsidP="00574183">
      <w:pPr>
        <w:pStyle w:val="ListParagraph"/>
        <w:rPr>
          <w:rFonts w:ascii="Calibri" w:hAnsi="Calibri" w:cs="Calibri"/>
          <w:b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Não existe uma Indisponibilidade Agendada para estes Serviços.</w:t>
      </w:r>
    </w:p>
    <w:p w:rsidR="0051219B" w:rsidRPr="002B76B2" w:rsidRDefault="0051219B" w:rsidP="00574183">
      <w:pPr>
        <w:rPr>
          <w:rFonts w:ascii="Calibri" w:hAnsi="Calibri" w:cs="Calibri"/>
          <w:sz w:val="22"/>
          <w:szCs w:val="22"/>
          <w:lang w:val="pt-BR"/>
        </w:rPr>
      </w:pPr>
    </w:p>
    <w:p w:rsidR="009E2248" w:rsidRPr="002B76B2" w:rsidRDefault="00705266" w:rsidP="00574183">
      <w:pPr>
        <w:pStyle w:val="ListParagraph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2B76B2">
        <w:rPr>
          <w:rFonts w:ascii="Calibri" w:hAnsi="Calibri"/>
          <w:b/>
          <w:sz w:val="22"/>
        </w:rPr>
        <w:t>Para Exchange Online e Forefront Online Protection for Exchange (FOPE)</w:t>
      </w:r>
      <w:r w:rsidRPr="002B76B2">
        <w:rPr>
          <w:rFonts w:ascii="Calibri" w:hAnsi="Calibri"/>
          <w:sz w:val="22"/>
        </w:rPr>
        <w:t>:</w:t>
      </w:r>
    </w:p>
    <w:p w:rsidR="009E2248" w:rsidRPr="002B76B2" w:rsidRDefault="009E2248" w:rsidP="00574183">
      <w:pPr>
        <w:pStyle w:val="ListParagraph"/>
        <w:rPr>
          <w:rFonts w:ascii="Calibri" w:hAnsi="Calibri" w:cs="Calibri"/>
          <w:sz w:val="22"/>
          <w:szCs w:val="22"/>
        </w:rPr>
      </w:pPr>
    </w:p>
    <w:p w:rsidR="00C84A3F" w:rsidRPr="002B76B2" w:rsidRDefault="002460AC" w:rsidP="00574183">
      <w:pPr>
        <w:pStyle w:val="ListParagraph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Relativamente ao a) Exchange Online e ao b) FOPE licenciado como um Serviço autónomo ou via conjunto ECAL, Forefront Protection Suite ou Exchange Enterprise CAL com Serviços, o Cliente pode ser elegível para Créditos de Serviço se a Microsoft não cumprir o Nível de Serviço descrito abaixo para:</w:t>
      </w:r>
      <w:r w:rsidR="000D77E2" w:rsidRPr="002B76B2">
        <w:rPr>
          <w:rFonts w:ascii="Calibri" w:hAnsi="Calibri" w:cs="Calibri"/>
          <w:sz w:val="22"/>
          <w:szCs w:val="22"/>
          <w:lang w:val="pt-BR"/>
        </w:rPr>
        <w:t xml:space="preserve"> </w:t>
      </w:r>
      <w:r w:rsidRPr="002B76B2">
        <w:rPr>
          <w:rFonts w:ascii="Calibri" w:hAnsi="Calibri"/>
          <w:sz w:val="22"/>
          <w:lang w:val="pt-PT"/>
        </w:rPr>
        <w:t>(1) Deteção e Bloqueio de Vírus, (2) Eficácia do Spam ou (3) Falso Positivo.</w:t>
      </w:r>
      <w:r w:rsidR="00C84A3F" w:rsidRPr="002B76B2">
        <w:rPr>
          <w:rFonts w:ascii="Calibri" w:hAnsi="Calibri" w:cs="Calibri"/>
          <w:sz w:val="22"/>
          <w:szCs w:val="22"/>
          <w:lang w:val="pt-BR"/>
        </w:rPr>
        <w:t xml:space="preserve"> </w:t>
      </w:r>
      <w:r w:rsidRPr="002B76B2">
        <w:rPr>
          <w:rFonts w:ascii="Calibri" w:hAnsi="Calibri"/>
          <w:sz w:val="22"/>
          <w:lang w:val="pt-PT"/>
        </w:rPr>
        <w:t>Se um destes Níveis de Serviço Individuais não for cumprido, o Cliente pode submeter uma queixa para obter um Crédito de Serviço.</w:t>
      </w:r>
      <w:r w:rsidR="000D77E2" w:rsidRPr="002B76B2">
        <w:rPr>
          <w:rFonts w:ascii="Calibri" w:hAnsi="Calibri" w:cs="Calibri"/>
          <w:sz w:val="22"/>
          <w:szCs w:val="22"/>
          <w:lang w:val="pt-BR"/>
        </w:rPr>
        <w:t xml:space="preserve"> </w:t>
      </w:r>
      <w:r w:rsidRPr="002B76B2">
        <w:rPr>
          <w:rFonts w:ascii="Calibri" w:hAnsi="Calibri"/>
          <w:sz w:val="22"/>
          <w:lang w:val="pt-PT"/>
        </w:rPr>
        <w:t>Se um Incidente levar a Microsoft a não cumprir mais do que uma métrica do SLA para o Exchange Online ou FOPE, o Cliente só poderá submeter uma queixa de Crédito de Serviço para esse incidente por Serviço.</w:t>
      </w:r>
      <w:r w:rsidR="000D77E2" w:rsidRPr="002B76B2">
        <w:rPr>
          <w:rFonts w:ascii="Calibri" w:hAnsi="Calibri" w:cs="Calibri"/>
          <w:sz w:val="22"/>
          <w:szCs w:val="22"/>
          <w:lang w:val="pt-BR"/>
        </w:rPr>
        <w:t xml:space="preserve"> </w:t>
      </w:r>
    </w:p>
    <w:p w:rsidR="00925391" w:rsidRPr="002B76B2" w:rsidRDefault="00925391" w:rsidP="007D7B02">
      <w:pPr>
        <w:pStyle w:val="ListParagraph"/>
        <w:suppressAutoHyphens w:val="0"/>
        <w:autoSpaceDN/>
        <w:spacing w:after="200"/>
        <w:ind w:left="360"/>
        <w:textAlignment w:val="auto"/>
        <w:rPr>
          <w:rFonts w:ascii="Calibri" w:hAnsi="Calibri" w:cs="Calibri"/>
          <w:sz w:val="22"/>
          <w:szCs w:val="22"/>
          <w:lang w:val="pt-BR"/>
        </w:rPr>
      </w:pPr>
    </w:p>
    <w:p w:rsidR="00133306" w:rsidRPr="002B76B2" w:rsidRDefault="002460AC" w:rsidP="007D7B02">
      <w:pPr>
        <w:pStyle w:val="ListParagraph"/>
        <w:numPr>
          <w:ilvl w:val="0"/>
          <w:numId w:val="3"/>
        </w:numPr>
        <w:suppressAutoHyphens w:val="0"/>
        <w:autoSpaceDN/>
        <w:spacing w:after="200"/>
        <w:ind w:left="1080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Nível de Serviço de Deteção e Bloqueio de Vírus</w:t>
      </w:r>
    </w:p>
    <w:p w:rsidR="00133306" w:rsidRPr="00D352D1" w:rsidRDefault="002460AC" w:rsidP="009C22D9">
      <w:pPr>
        <w:pStyle w:val="ListParagraph"/>
        <w:numPr>
          <w:ilvl w:val="3"/>
          <w:numId w:val="3"/>
        </w:numPr>
        <w:tabs>
          <w:tab w:val="left" w:pos="1620"/>
        </w:tabs>
        <w:suppressAutoHyphens w:val="0"/>
        <w:autoSpaceDN/>
        <w:spacing w:after="200"/>
        <w:ind w:left="1620"/>
        <w:textAlignment w:val="auto"/>
        <w:rPr>
          <w:rFonts w:ascii="Calibri" w:hAnsi="Calibri" w:cs="Calibri"/>
          <w:spacing w:val="-4"/>
          <w:sz w:val="22"/>
          <w:szCs w:val="22"/>
          <w:lang w:val="pt-BR"/>
        </w:rPr>
      </w:pPr>
      <w:r w:rsidRPr="00D352D1">
        <w:rPr>
          <w:rFonts w:ascii="Calibri" w:hAnsi="Calibri"/>
          <w:spacing w:val="-4"/>
          <w:sz w:val="22"/>
          <w:lang w:val="pt-PT"/>
        </w:rPr>
        <w:t>“Deteção e Bloqueio de Vírus” é definido como a deteção e bloqueio de Vírus pelos filtros para impedir a infeção.</w:t>
      </w:r>
      <w:r w:rsidR="00133306" w:rsidRPr="00D352D1">
        <w:rPr>
          <w:rFonts w:ascii="Calibri" w:hAnsi="Calibri" w:cs="Calibri"/>
          <w:spacing w:val="-4"/>
          <w:sz w:val="22"/>
          <w:szCs w:val="22"/>
          <w:lang w:val="pt-BR"/>
        </w:rPr>
        <w:t xml:space="preserve"> </w:t>
      </w:r>
      <w:r w:rsidRPr="00D352D1">
        <w:rPr>
          <w:rFonts w:ascii="Calibri" w:hAnsi="Calibri"/>
          <w:spacing w:val="-4"/>
          <w:sz w:val="22"/>
          <w:lang w:val="pt-PT"/>
        </w:rPr>
        <w:t>“Vírus” é amplamente definido como software maligno (malware), que inclui vírus, worms e Trojans.</w:t>
      </w:r>
      <w:r w:rsidR="00133306" w:rsidRPr="00D352D1">
        <w:rPr>
          <w:rFonts w:ascii="Calibri" w:hAnsi="Calibri" w:cs="Calibri"/>
          <w:spacing w:val="-4"/>
          <w:sz w:val="22"/>
          <w:szCs w:val="22"/>
          <w:lang w:val="pt-BR"/>
        </w:rPr>
        <w:t xml:space="preserve"> </w:t>
      </w:r>
      <w:r w:rsidRPr="00D352D1">
        <w:rPr>
          <w:rFonts w:ascii="Calibri" w:hAnsi="Calibri"/>
          <w:spacing w:val="-4"/>
          <w:sz w:val="22"/>
          <w:lang w:val="pt-PT"/>
        </w:rPr>
        <w:t xml:space="preserve">Para obter uma classificação de software maligno, visite </w:t>
      </w:r>
      <w:hyperlink r:id="rId10" w:history="1">
        <w:r w:rsidRPr="00D352D1">
          <w:rPr>
            <w:rStyle w:val="Hyperlink"/>
            <w:rFonts w:ascii="Calibri" w:hAnsi="Calibri"/>
            <w:spacing w:val="-4"/>
            <w:sz w:val="22"/>
            <w:lang w:val="pt-PT"/>
          </w:rPr>
          <w:t>http://www.microsoft.com/technet/security/topics/serversecurity/avdind_2.mspx</w:t>
        </w:r>
      </w:hyperlink>
      <w:r w:rsidRPr="00D352D1">
        <w:rPr>
          <w:rFonts w:ascii="Calibri" w:hAnsi="Calibri"/>
          <w:spacing w:val="-4"/>
          <w:sz w:val="22"/>
          <w:lang w:val="pt-PT"/>
        </w:rPr>
        <w:t>.</w:t>
      </w:r>
      <w:r w:rsidR="00133306" w:rsidRPr="00D352D1">
        <w:rPr>
          <w:rFonts w:ascii="Calibri" w:hAnsi="Calibri" w:cs="Calibri"/>
          <w:spacing w:val="-4"/>
          <w:sz w:val="22"/>
          <w:szCs w:val="22"/>
          <w:lang w:val="pt-BR"/>
        </w:rPr>
        <w:t xml:space="preserve"> </w:t>
      </w:r>
    </w:p>
    <w:p w:rsidR="00133306" w:rsidRPr="002B76B2" w:rsidRDefault="002460AC" w:rsidP="009C22D9">
      <w:pPr>
        <w:pStyle w:val="ListParagraph"/>
        <w:numPr>
          <w:ilvl w:val="3"/>
          <w:numId w:val="3"/>
        </w:numPr>
        <w:tabs>
          <w:tab w:val="left" w:pos="1620"/>
        </w:tabs>
        <w:suppressAutoHyphens w:val="0"/>
        <w:autoSpaceDN/>
        <w:spacing w:after="200"/>
        <w:ind w:left="1620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Um vírus é considerado conhecido quando um motor de verificação de vírus do FOPE consegue detetar vírus e a capacidade de deteção está disponível na rede FOPE.</w:t>
      </w:r>
    </w:p>
    <w:p w:rsidR="00133306" w:rsidRPr="002B76B2" w:rsidRDefault="002460AC" w:rsidP="009C22D9">
      <w:pPr>
        <w:pStyle w:val="ListParagraph"/>
        <w:numPr>
          <w:ilvl w:val="3"/>
          <w:numId w:val="3"/>
        </w:numPr>
        <w:tabs>
          <w:tab w:val="left" w:pos="1620"/>
        </w:tabs>
        <w:suppressAutoHyphens w:val="0"/>
        <w:autoSpaceDN/>
        <w:spacing w:after="200"/>
        <w:ind w:left="1620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Deve resultar de uma infeção não premeditada.</w:t>
      </w:r>
    </w:p>
    <w:p w:rsidR="00133306" w:rsidRPr="002B76B2" w:rsidRDefault="002460AC" w:rsidP="009C22D9">
      <w:pPr>
        <w:pStyle w:val="ListParagraph"/>
        <w:numPr>
          <w:ilvl w:val="3"/>
          <w:numId w:val="3"/>
        </w:numPr>
        <w:tabs>
          <w:tab w:val="left" w:pos="1620"/>
        </w:tabs>
        <w:suppressAutoHyphens w:val="0"/>
        <w:autoSpaceDN/>
        <w:spacing w:after="200"/>
        <w:ind w:left="1620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lastRenderedPageBreak/>
        <w:t>O Vírus deve ter sido detetado pelo filtro de vírus do FOPE.</w:t>
      </w:r>
    </w:p>
    <w:p w:rsidR="00133306" w:rsidRPr="002B76B2" w:rsidRDefault="002460AC" w:rsidP="009C22D9">
      <w:pPr>
        <w:pStyle w:val="ListParagraph"/>
        <w:numPr>
          <w:ilvl w:val="3"/>
          <w:numId w:val="3"/>
        </w:numPr>
        <w:tabs>
          <w:tab w:val="left" w:pos="1620"/>
        </w:tabs>
        <w:suppressAutoHyphens w:val="0"/>
        <w:autoSpaceDN/>
        <w:spacing w:after="200"/>
        <w:ind w:left="1620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 xml:space="preserve">Se o FOPE enviar </w:t>
      </w:r>
      <w:r w:rsidR="00ED3D5F" w:rsidRPr="002B76B2">
        <w:rPr>
          <w:rFonts w:ascii="Calibri" w:hAnsi="Calibri"/>
          <w:sz w:val="22"/>
          <w:lang w:val="pt-PT"/>
        </w:rPr>
        <w:t xml:space="preserve">para </w:t>
      </w:r>
      <w:r w:rsidRPr="002B76B2">
        <w:rPr>
          <w:rFonts w:ascii="Calibri" w:hAnsi="Calibri"/>
          <w:sz w:val="22"/>
          <w:lang w:val="pt-PT"/>
        </w:rPr>
        <w:t>o Cliente uma mensagem de correio eletrónico que esteja infetada com um vírus conhecido, o FOPE irá notificar e trabalhar com o Cliente para identificar e remover o vírus.</w:t>
      </w:r>
      <w:r w:rsidR="000D77E2" w:rsidRPr="002B76B2">
        <w:rPr>
          <w:rFonts w:ascii="Calibri" w:hAnsi="Calibri" w:cs="Calibri"/>
          <w:sz w:val="22"/>
          <w:szCs w:val="22"/>
          <w:lang w:val="pt-BR"/>
        </w:rPr>
        <w:t xml:space="preserve"> </w:t>
      </w:r>
      <w:r w:rsidRPr="002B76B2">
        <w:rPr>
          <w:rFonts w:ascii="Calibri" w:hAnsi="Calibri"/>
          <w:sz w:val="22"/>
          <w:lang w:val="pt-PT"/>
        </w:rPr>
        <w:t>Se isto resultar na prevenção de uma infeção, o Cliente não será elegível para um Crédito de Serviço ao abrigo do Nível de Serviço de Deteção e Bloqueio de Vírus.</w:t>
      </w:r>
    </w:p>
    <w:p w:rsidR="00133306" w:rsidRPr="002B76B2" w:rsidRDefault="002460AC" w:rsidP="009C22D9">
      <w:pPr>
        <w:pStyle w:val="ListParagraph"/>
        <w:numPr>
          <w:ilvl w:val="3"/>
          <w:numId w:val="3"/>
        </w:numPr>
        <w:tabs>
          <w:tab w:val="left" w:pos="1620"/>
        </w:tabs>
        <w:suppressAutoHyphens w:val="0"/>
        <w:autoSpaceDN/>
        <w:spacing w:after="200"/>
        <w:ind w:left="1620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O Nível de Serviço de Deteção e Bloqueio de Vírus não se aplica a:</w:t>
      </w:r>
    </w:p>
    <w:p w:rsidR="00133306" w:rsidRPr="00D352D1" w:rsidRDefault="00CE323C" w:rsidP="00920820">
      <w:pPr>
        <w:pStyle w:val="ListParagraph"/>
        <w:numPr>
          <w:ilvl w:val="4"/>
          <w:numId w:val="3"/>
        </w:numPr>
        <w:suppressAutoHyphens w:val="0"/>
        <w:autoSpaceDN/>
        <w:spacing w:after="200"/>
        <w:ind w:left="2070"/>
        <w:textAlignment w:val="auto"/>
        <w:rPr>
          <w:rFonts w:ascii="Calibri" w:hAnsi="Calibri" w:cs="Calibri"/>
          <w:spacing w:val="-3"/>
          <w:sz w:val="22"/>
          <w:szCs w:val="22"/>
          <w:lang w:val="pt-BR"/>
        </w:rPr>
      </w:pPr>
      <w:r w:rsidRPr="00D352D1">
        <w:rPr>
          <w:rFonts w:ascii="Calibri" w:hAnsi="Calibri"/>
          <w:spacing w:val="-3"/>
          <w:sz w:val="22"/>
          <w:lang w:val="pt-PT"/>
        </w:rPr>
        <w:t xml:space="preserve">Formas de </w:t>
      </w:r>
      <w:r w:rsidR="00601824" w:rsidRPr="00D352D1">
        <w:rPr>
          <w:rFonts w:ascii="Calibri" w:hAnsi="Calibri"/>
          <w:spacing w:val="-3"/>
          <w:sz w:val="22"/>
          <w:lang w:val="pt-PT"/>
        </w:rPr>
        <w:t xml:space="preserve">utilização </w:t>
      </w:r>
      <w:r w:rsidRPr="00D352D1">
        <w:rPr>
          <w:rFonts w:ascii="Calibri" w:hAnsi="Calibri"/>
          <w:spacing w:val="-3"/>
          <w:sz w:val="22"/>
          <w:lang w:val="pt-PT"/>
        </w:rPr>
        <w:t>abus</w:t>
      </w:r>
      <w:r w:rsidR="00601824" w:rsidRPr="00D352D1">
        <w:rPr>
          <w:rFonts w:ascii="Calibri" w:hAnsi="Calibri"/>
          <w:spacing w:val="-3"/>
          <w:sz w:val="22"/>
          <w:lang w:val="pt-PT"/>
        </w:rPr>
        <w:t>iva</w:t>
      </w:r>
      <w:r w:rsidRPr="00D352D1">
        <w:rPr>
          <w:rFonts w:ascii="Calibri" w:hAnsi="Calibri"/>
          <w:spacing w:val="-3"/>
          <w:sz w:val="22"/>
          <w:lang w:val="pt-PT"/>
        </w:rPr>
        <w:t xml:space="preserve"> de mensagens de correio eletrónico não classificadas como software maligno, como spam, phishing e outros esquemas de</w:t>
      </w:r>
      <w:r w:rsidR="00920820" w:rsidRPr="00D352D1">
        <w:rPr>
          <w:rFonts w:ascii="Calibri" w:hAnsi="Calibri"/>
          <w:spacing w:val="-3"/>
          <w:sz w:val="22"/>
          <w:lang w:val="pt-PT"/>
        </w:rPr>
        <w:t xml:space="preserve"> </w:t>
      </w:r>
      <w:r w:rsidRPr="00D352D1">
        <w:rPr>
          <w:rFonts w:ascii="Calibri" w:hAnsi="Calibri"/>
          <w:spacing w:val="-3"/>
          <w:sz w:val="22"/>
          <w:lang w:val="pt-PT"/>
        </w:rPr>
        <w:t>phishing, adware e spyware.</w:t>
      </w:r>
      <w:r w:rsidR="00133306" w:rsidRPr="00D352D1">
        <w:rPr>
          <w:rFonts w:ascii="Calibri" w:hAnsi="Calibri" w:cs="Calibri"/>
          <w:spacing w:val="-3"/>
          <w:sz w:val="22"/>
          <w:szCs w:val="22"/>
          <w:lang w:val="pt-BR"/>
        </w:rPr>
        <w:t xml:space="preserve"> </w:t>
      </w:r>
      <w:r w:rsidRPr="00D352D1">
        <w:rPr>
          <w:rFonts w:ascii="Calibri" w:hAnsi="Calibri"/>
          <w:spacing w:val="-3"/>
          <w:sz w:val="22"/>
          <w:lang w:val="pt-PT"/>
        </w:rPr>
        <w:t xml:space="preserve">Para obter uma classificação de software maligno, visite </w:t>
      </w:r>
      <w:hyperlink r:id="rId11" w:history="1">
        <w:r w:rsidRPr="00D352D1">
          <w:rPr>
            <w:rStyle w:val="Hyperlink"/>
            <w:rFonts w:ascii="Calibri" w:hAnsi="Calibri"/>
            <w:spacing w:val="-3"/>
            <w:sz w:val="22"/>
            <w:lang w:val="pt-PT"/>
          </w:rPr>
          <w:t>http://www.microsoft.com/technet/security/topics/serversecurity/avdind_2.mspx</w:t>
        </w:r>
      </w:hyperlink>
      <w:r w:rsidRPr="00D352D1">
        <w:rPr>
          <w:rFonts w:ascii="Calibri" w:hAnsi="Calibri"/>
          <w:spacing w:val="-3"/>
          <w:sz w:val="22"/>
          <w:lang w:val="pt-PT"/>
        </w:rPr>
        <w:t>.</w:t>
      </w:r>
    </w:p>
    <w:p w:rsidR="00133306" w:rsidRPr="002B76B2" w:rsidRDefault="00CE323C" w:rsidP="007D7B02">
      <w:pPr>
        <w:pStyle w:val="ListParagraph"/>
        <w:numPr>
          <w:ilvl w:val="4"/>
          <w:numId w:val="3"/>
        </w:numPr>
        <w:suppressAutoHyphens w:val="0"/>
        <w:autoSpaceDN/>
        <w:spacing w:after="200"/>
        <w:ind w:left="2070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Vírus corruptos, com defeitos, truncados ou inativos contidos em mensagens de correio eletrónico de relatórios de entrega sem êxito, de notificações ou mensagens devolvidas.</w:t>
      </w:r>
    </w:p>
    <w:p w:rsidR="00133306" w:rsidRPr="002B76B2" w:rsidRDefault="00CE323C" w:rsidP="00BD592D">
      <w:pPr>
        <w:pStyle w:val="ListParagraph"/>
        <w:numPr>
          <w:ilvl w:val="3"/>
          <w:numId w:val="3"/>
        </w:numPr>
        <w:tabs>
          <w:tab w:val="left" w:pos="1620"/>
        </w:tabs>
        <w:suppressAutoHyphens w:val="0"/>
        <w:autoSpaceDN/>
        <w:spacing w:after="200"/>
        <w:ind w:left="1620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O Crédito de Serviço disponível para o Serviço de Deteção e Bloqueio de Vírus é:</w:t>
      </w:r>
      <w:r w:rsidR="00A131B9" w:rsidRPr="002B76B2">
        <w:rPr>
          <w:rFonts w:ascii="Calibri" w:hAnsi="Calibri" w:cs="Calibri"/>
          <w:sz w:val="22"/>
          <w:szCs w:val="22"/>
          <w:lang w:val="pt-BR"/>
        </w:rPr>
        <w:t xml:space="preserve"> </w:t>
      </w:r>
      <w:r w:rsidRPr="002B76B2">
        <w:rPr>
          <w:rFonts w:ascii="Calibri" w:hAnsi="Calibri"/>
          <w:sz w:val="22"/>
          <w:lang w:val="pt-PT"/>
        </w:rPr>
        <w:t>25% do Crédito de Serviço em Honorários Mensais dos Serviços Aplicáveis se ocorrer uma infeção num mês de calendário, com um máximo de uma queixa permitida por mês de</w:t>
      </w:r>
      <w:r w:rsidR="00BD592D" w:rsidRPr="002B76B2">
        <w:rPr>
          <w:rFonts w:ascii="Calibri" w:hAnsi="Calibri"/>
          <w:sz w:val="22"/>
          <w:lang w:val="pt-PT"/>
        </w:rPr>
        <w:t> </w:t>
      </w:r>
      <w:r w:rsidRPr="002B76B2">
        <w:rPr>
          <w:rFonts w:ascii="Calibri" w:hAnsi="Calibri"/>
          <w:sz w:val="22"/>
          <w:lang w:val="pt-PT"/>
        </w:rPr>
        <w:t>calendário.</w:t>
      </w:r>
    </w:p>
    <w:p w:rsidR="00133306" w:rsidRPr="002B76B2" w:rsidRDefault="00133306" w:rsidP="007D7B02">
      <w:pPr>
        <w:pStyle w:val="ListParagraph"/>
        <w:ind w:left="2520"/>
        <w:rPr>
          <w:rFonts w:ascii="Calibri" w:hAnsi="Calibri" w:cs="Calibri"/>
          <w:sz w:val="12"/>
          <w:szCs w:val="12"/>
          <w:lang w:val="pt-BR"/>
        </w:rPr>
      </w:pPr>
    </w:p>
    <w:p w:rsidR="00133306" w:rsidRPr="002B76B2" w:rsidRDefault="00CE323C" w:rsidP="007D7B02">
      <w:pPr>
        <w:pStyle w:val="ListParagraph"/>
        <w:numPr>
          <w:ilvl w:val="0"/>
          <w:numId w:val="3"/>
        </w:numPr>
        <w:suppressAutoHyphens w:val="0"/>
        <w:autoSpaceDN/>
        <w:spacing w:after="200"/>
        <w:ind w:left="1080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Nível de Serviço da Eficácia do Spam</w:t>
      </w:r>
    </w:p>
    <w:p w:rsidR="00133306" w:rsidRPr="002B76B2" w:rsidRDefault="00045AA1" w:rsidP="00A30EE4">
      <w:pPr>
        <w:pStyle w:val="ListParagraph"/>
        <w:numPr>
          <w:ilvl w:val="3"/>
          <w:numId w:val="3"/>
        </w:numPr>
        <w:tabs>
          <w:tab w:val="left" w:pos="1638"/>
        </w:tabs>
        <w:suppressAutoHyphens w:val="0"/>
        <w:autoSpaceDN/>
        <w:spacing w:after="200"/>
        <w:ind w:left="1620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“Eficácia do Spam” é definida como a percentagem de spam recebido detetado pelo sistema de filtragem num mês de calendário, calculado em dias.</w:t>
      </w:r>
    </w:p>
    <w:p w:rsidR="00133306" w:rsidRPr="002B76B2" w:rsidRDefault="00045AA1" w:rsidP="00A30EE4">
      <w:pPr>
        <w:pStyle w:val="ListParagraph"/>
        <w:numPr>
          <w:ilvl w:val="3"/>
          <w:numId w:val="3"/>
        </w:numPr>
        <w:tabs>
          <w:tab w:val="left" w:pos="1638"/>
        </w:tabs>
        <w:suppressAutoHyphens w:val="0"/>
        <w:autoSpaceDN/>
        <w:spacing w:after="200"/>
        <w:ind w:left="1620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As estimativas da eficácia do spam excluem falsos negativos para as caixas de correio inválidas.</w:t>
      </w:r>
    </w:p>
    <w:p w:rsidR="00133306" w:rsidRPr="002B76B2" w:rsidRDefault="00045AA1" w:rsidP="00A30EE4">
      <w:pPr>
        <w:pStyle w:val="ListParagraph"/>
        <w:numPr>
          <w:ilvl w:val="3"/>
          <w:numId w:val="3"/>
        </w:numPr>
        <w:tabs>
          <w:tab w:val="left" w:pos="1638"/>
        </w:tabs>
        <w:suppressAutoHyphens w:val="0"/>
        <w:autoSpaceDN/>
        <w:spacing w:after="200"/>
        <w:ind w:left="1620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A mensagem de spam tem de ser processada pelo serviço da Microsoft e não pode estar corrompida, incorreta ou truncada.</w:t>
      </w:r>
    </w:p>
    <w:p w:rsidR="00133306" w:rsidRPr="002B76B2" w:rsidRDefault="00045AA1" w:rsidP="00A30EE4">
      <w:pPr>
        <w:pStyle w:val="ListParagraph"/>
        <w:numPr>
          <w:ilvl w:val="3"/>
          <w:numId w:val="3"/>
        </w:numPr>
        <w:tabs>
          <w:tab w:val="left" w:pos="1638"/>
        </w:tabs>
        <w:suppressAutoHyphens w:val="0"/>
        <w:autoSpaceDN/>
        <w:spacing w:after="200"/>
        <w:ind w:left="1620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O Nível de Serviço da Eficácia do Spam não se aplica ao correio eletrónico com a maior parte de conteúdo que não está em inglês.</w:t>
      </w:r>
      <w:r w:rsidR="0031153A" w:rsidRPr="002B76B2">
        <w:rPr>
          <w:rFonts w:ascii="Calibri" w:hAnsi="Calibri" w:cs="Calibri"/>
          <w:sz w:val="22"/>
          <w:szCs w:val="22"/>
          <w:lang w:val="pt-BR"/>
        </w:rPr>
        <w:t xml:space="preserve"> </w:t>
      </w:r>
    </w:p>
    <w:p w:rsidR="00133306" w:rsidRPr="002B76B2" w:rsidRDefault="00045AA1" w:rsidP="00A30EE4">
      <w:pPr>
        <w:pStyle w:val="ListParagraph"/>
        <w:numPr>
          <w:ilvl w:val="3"/>
          <w:numId w:val="3"/>
        </w:numPr>
        <w:tabs>
          <w:tab w:val="left" w:pos="1638"/>
        </w:tabs>
        <w:suppressAutoHyphens w:val="0"/>
        <w:autoSpaceDN/>
        <w:spacing w:after="200"/>
        <w:ind w:left="1620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 xml:space="preserve">O Cliente </w:t>
      </w:r>
      <w:r w:rsidR="00601824" w:rsidRPr="002B76B2">
        <w:rPr>
          <w:rFonts w:ascii="Calibri" w:hAnsi="Calibri"/>
          <w:sz w:val="22"/>
          <w:lang w:val="pt-PT"/>
        </w:rPr>
        <w:t xml:space="preserve">reconhece </w:t>
      </w:r>
      <w:r w:rsidRPr="002B76B2">
        <w:rPr>
          <w:rFonts w:ascii="Calibri" w:hAnsi="Calibri"/>
          <w:sz w:val="22"/>
          <w:lang w:val="pt-PT"/>
        </w:rPr>
        <w:t>que a classificação do spam é subjetiva e aceita que a Microsoft</w:t>
      </w:r>
      <w:r w:rsidR="00914599">
        <w:rPr>
          <w:rFonts w:ascii="Calibri" w:hAnsi="Calibri"/>
          <w:sz w:val="22"/>
          <w:lang w:val="pt-PT"/>
        </w:rPr>
        <w:t> </w:t>
      </w:r>
      <w:r w:rsidRPr="002B76B2">
        <w:rPr>
          <w:rFonts w:ascii="Calibri" w:hAnsi="Calibri"/>
          <w:sz w:val="22"/>
          <w:lang w:val="pt-PT"/>
        </w:rPr>
        <w:t>efetue uma estimativa de boa fé da taxa de captura do spam com base nas</w:t>
      </w:r>
      <w:r w:rsidR="00914599">
        <w:rPr>
          <w:rFonts w:ascii="Calibri" w:hAnsi="Calibri"/>
          <w:sz w:val="22"/>
          <w:lang w:val="pt-PT"/>
        </w:rPr>
        <w:t> </w:t>
      </w:r>
      <w:r w:rsidRPr="002B76B2">
        <w:rPr>
          <w:rFonts w:ascii="Calibri" w:hAnsi="Calibri"/>
          <w:sz w:val="22"/>
          <w:lang w:val="pt-PT"/>
        </w:rPr>
        <w:t>provas fornecidas atempadamente pelo Cliente.</w:t>
      </w:r>
    </w:p>
    <w:p w:rsidR="00133306" w:rsidRPr="002B76B2" w:rsidRDefault="00045AA1" w:rsidP="00A30EE4">
      <w:pPr>
        <w:pStyle w:val="ListParagraph"/>
        <w:numPr>
          <w:ilvl w:val="3"/>
          <w:numId w:val="3"/>
        </w:numPr>
        <w:tabs>
          <w:tab w:val="left" w:pos="1638"/>
        </w:tabs>
        <w:suppressAutoHyphens w:val="0"/>
        <w:autoSpaceDN/>
        <w:spacing w:after="200"/>
        <w:ind w:left="1620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O Crédito de Serviço disponível para o Serviço da Eficácia do Spam é:</w:t>
      </w:r>
    </w:p>
    <w:p w:rsidR="007E61C4" w:rsidRPr="002B76B2" w:rsidRDefault="007E61C4" w:rsidP="007D7B02">
      <w:pPr>
        <w:pStyle w:val="ListParagraph"/>
        <w:suppressAutoHyphens w:val="0"/>
        <w:autoSpaceDN/>
        <w:spacing w:after="200"/>
        <w:ind w:left="1620"/>
        <w:textAlignment w:val="auto"/>
        <w:rPr>
          <w:rFonts w:ascii="Calibri" w:hAnsi="Calibri" w:cs="Calibri"/>
          <w:sz w:val="22"/>
          <w:szCs w:val="22"/>
          <w:lang w:val="pt-BR"/>
        </w:rPr>
      </w:pPr>
    </w:p>
    <w:p w:rsidR="00A131B9" w:rsidRPr="002B76B2" w:rsidRDefault="00A131B9" w:rsidP="007D7B02">
      <w:pPr>
        <w:pStyle w:val="ListParagraph"/>
        <w:suppressAutoHyphens w:val="0"/>
        <w:autoSpaceDN/>
        <w:spacing w:after="200"/>
        <w:ind w:left="1620"/>
        <w:textAlignment w:val="auto"/>
        <w:rPr>
          <w:rFonts w:ascii="Calibri" w:hAnsi="Calibri" w:cs="Calibri"/>
          <w:sz w:val="12"/>
          <w:szCs w:val="12"/>
          <w:lang w:val="pt-BR"/>
        </w:rPr>
      </w:pPr>
    </w:p>
    <w:tbl>
      <w:tblPr>
        <w:tblW w:w="7416" w:type="dxa"/>
        <w:tblInd w:w="1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72"/>
        <w:gridCol w:w="3644"/>
      </w:tblGrid>
      <w:tr w:rsidR="00133306" w:rsidRPr="002B76B2">
        <w:tc>
          <w:tcPr>
            <w:tcW w:w="3772" w:type="dxa"/>
            <w:shd w:val="clear" w:color="auto" w:fill="D9D9D9"/>
          </w:tcPr>
          <w:p w:rsidR="00133306" w:rsidRPr="002B76B2" w:rsidRDefault="00045AA1" w:rsidP="00627D8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2B76B2">
              <w:rPr>
                <w:rFonts w:ascii="Calibri" w:hAnsi="Calibri"/>
                <w:sz w:val="22"/>
                <w:lang w:val="pt-PT"/>
              </w:rPr>
              <w:t>% do Mês de Calendário em que a Eficácia do Spam está abaixo dos 98%</w:t>
            </w:r>
          </w:p>
        </w:tc>
        <w:tc>
          <w:tcPr>
            <w:tcW w:w="3644" w:type="dxa"/>
            <w:shd w:val="clear" w:color="auto" w:fill="D9D9D9"/>
          </w:tcPr>
          <w:p w:rsidR="00133306" w:rsidRPr="002B76B2" w:rsidRDefault="00045AA1" w:rsidP="00627D8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/>
                <w:sz w:val="22"/>
                <w:lang w:val="pt-PT"/>
              </w:rPr>
              <w:t>Crédito de Serviço</w:t>
            </w:r>
          </w:p>
        </w:tc>
      </w:tr>
      <w:tr w:rsidR="00133306" w:rsidRPr="002B76B2">
        <w:tc>
          <w:tcPr>
            <w:tcW w:w="3772" w:type="dxa"/>
          </w:tcPr>
          <w:p w:rsidR="00133306" w:rsidRPr="002B76B2" w:rsidRDefault="00133306" w:rsidP="00627D8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 w:cs="Calibri"/>
                <w:sz w:val="22"/>
                <w:szCs w:val="22"/>
              </w:rPr>
              <w:t>&gt; 25%</w:t>
            </w:r>
          </w:p>
        </w:tc>
        <w:tc>
          <w:tcPr>
            <w:tcW w:w="3644" w:type="dxa"/>
          </w:tcPr>
          <w:p w:rsidR="00133306" w:rsidRPr="002B76B2" w:rsidRDefault="00133306" w:rsidP="00627D8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 w:cs="Calibri"/>
                <w:sz w:val="22"/>
                <w:szCs w:val="22"/>
              </w:rPr>
              <w:t>25%</w:t>
            </w:r>
          </w:p>
        </w:tc>
      </w:tr>
      <w:tr w:rsidR="00133306" w:rsidRPr="002B76B2">
        <w:tc>
          <w:tcPr>
            <w:tcW w:w="3772" w:type="dxa"/>
          </w:tcPr>
          <w:p w:rsidR="00133306" w:rsidRPr="002B76B2" w:rsidRDefault="00133306" w:rsidP="00627D8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 w:cs="Calibri"/>
                <w:sz w:val="22"/>
                <w:szCs w:val="22"/>
              </w:rPr>
              <w:t>&gt; 50%</w:t>
            </w:r>
          </w:p>
        </w:tc>
        <w:tc>
          <w:tcPr>
            <w:tcW w:w="3644" w:type="dxa"/>
          </w:tcPr>
          <w:p w:rsidR="00133306" w:rsidRPr="002B76B2" w:rsidRDefault="00133306" w:rsidP="00627D8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 w:cs="Calibri"/>
                <w:sz w:val="22"/>
                <w:szCs w:val="22"/>
              </w:rPr>
              <w:t>50%</w:t>
            </w:r>
          </w:p>
        </w:tc>
      </w:tr>
      <w:tr w:rsidR="00133306" w:rsidRPr="002B76B2">
        <w:tc>
          <w:tcPr>
            <w:tcW w:w="3772" w:type="dxa"/>
          </w:tcPr>
          <w:p w:rsidR="00133306" w:rsidRPr="002B76B2" w:rsidRDefault="00133306" w:rsidP="00627D8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 w:cs="Calibri"/>
                <w:sz w:val="22"/>
                <w:szCs w:val="22"/>
              </w:rPr>
              <w:t>100%</w:t>
            </w:r>
          </w:p>
        </w:tc>
        <w:tc>
          <w:tcPr>
            <w:tcW w:w="3644" w:type="dxa"/>
          </w:tcPr>
          <w:p w:rsidR="00133306" w:rsidRPr="002B76B2" w:rsidRDefault="00133306" w:rsidP="00627D8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 w:cs="Calibri"/>
                <w:sz w:val="22"/>
                <w:szCs w:val="22"/>
              </w:rPr>
              <w:t>100%</w:t>
            </w:r>
          </w:p>
        </w:tc>
      </w:tr>
    </w:tbl>
    <w:p w:rsidR="00133306" w:rsidRPr="002B76B2" w:rsidRDefault="00133306" w:rsidP="007D7B02">
      <w:pPr>
        <w:pStyle w:val="ListParagraph"/>
        <w:ind w:left="2520"/>
        <w:rPr>
          <w:rFonts w:ascii="Calibri" w:hAnsi="Calibri" w:cs="Calibri"/>
          <w:sz w:val="22"/>
          <w:szCs w:val="22"/>
        </w:rPr>
      </w:pPr>
    </w:p>
    <w:p w:rsidR="00133306" w:rsidRPr="002B76B2" w:rsidRDefault="00045AA1" w:rsidP="007D7B02">
      <w:pPr>
        <w:pStyle w:val="ListParagraph"/>
        <w:numPr>
          <w:ilvl w:val="0"/>
          <w:numId w:val="3"/>
        </w:numPr>
        <w:suppressAutoHyphens w:val="0"/>
        <w:autoSpaceDN/>
        <w:spacing w:after="200"/>
        <w:ind w:left="1080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Nível de Serviço de Falso Positivo</w:t>
      </w:r>
    </w:p>
    <w:p w:rsidR="00133306" w:rsidRPr="002B76B2" w:rsidRDefault="00045AA1" w:rsidP="00CC293F">
      <w:pPr>
        <w:pStyle w:val="ListParagraph"/>
        <w:numPr>
          <w:ilvl w:val="3"/>
          <w:numId w:val="3"/>
        </w:numPr>
        <w:tabs>
          <w:tab w:val="left" w:pos="1620"/>
        </w:tabs>
        <w:suppressAutoHyphens w:val="0"/>
        <w:autoSpaceDN/>
        <w:spacing w:after="200"/>
        <w:ind w:left="1620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“Falso Positivo” é definido como o rácio de mensagens de correio eletrónico comerciais legítimas identificadas incorretamente como spam pelo sistema de filtragem para todas as mensagens de correio eletrónico processadas pelo serviço num mês de calendário.</w:t>
      </w:r>
    </w:p>
    <w:p w:rsidR="00133306" w:rsidRPr="002B76B2" w:rsidRDefault="00CB4A02" w:rsidP="00CC293F">
      <w:pPr>
        <w:pStyle w:val="ListParagraph"/>
        <w:numPr>
          <w:ilvl w:val="3"/>
          <w:numId w:val="3"/>
        </w:numPr>
        <w:tabs>
          <w:tab w:val="left" w:pos="1620"/>
        </w:tabs>
        <w:suppressAutoHyphens w:val="0"/>
        <w:autoSpaceDN/>
        <w:spacing w:after="200"/>
        <w:ind w:left="1620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 xml:space="preserve">As mensagens completas e originais, incluindo todos os cabeçalhos, têm de ser reportadas à equipa de processamento de utilizações abusivas em cinco (5) dias de calendário após </w:t>
      </w:r>
      <w:r w:rsidR="00ED3D5F" w:rsidRPr="002B76B2">
        <w:rPr>
          <w:rFonts w:ascii="Calibri" w:hAnsi="Calibri"/>
          <w:sz w:val="22"/>
          <w:lang w:val="pt-PT"/>
        </w:rPr>
        <w:t xml:space="preserve">o envio </w:t>
      </w:r>
      <w:r w:rsidRPr="002B76B2">
        <w:rPr>
          <w:rFonts w:ascii="Calibri" w:hAnsi="Calibri"/>
          <w:sz w:val="22"/>
          <w:lang w:val="pt-PT"/>
        </w:rPr>
        <w:t>de mensagens.</w:t>
      </w:r>
    </w:p>
    <w:p w:rsidR="00133306" w:rsidRPr="002B76B2" w:rsidRDefault="00CB4A02" w:rsidP="00D352D1">
      <w:pPr>
        <w:pStyle w:val="ListParagraph"/>
        <w:numPr>
          <w:ilvl w:val="3"/>
          <w:numId w:val="3"/>
        </w:numPr>
        <w:tabs>
          <w:tab w:val="left" w:pos="1620"/>
        </w:tabs>
        <w:suppressAutoHyphens w:val="0"/>
        <w:autoSpaceDN/>
        <w:spacing w:after="200"/>
        <w:ind w:left="1620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lastRenderedPageBreak/>
        <w:t>Aplica-se às mensagens de correio eletrónico enviado apenas para as caixas de correio</w:t>
      </w:r>
      <w:r w:rsidR="00D352D1">
        <w:rPr>
          <w:rFonts w:ascii="Calibri" w:hAnsi="Calibri"/>
          <w:sz w:val="22"/>
          <w:lang w:val="pt-PT"/>
        </w:rPr>
        <w:t> </w:t>
      </w:r>
      <w:r w:rsidRPr="002B76B2">
        <w:rPr>
          <w:rFonts w:ascii="Calibri" w:hAnsi="Calibri"/>
          <w:sz w:val="22"/>
          <w:lang w:val="pt-PT"/>
        </w:rPr>
        <w:t>válidas.</w:t>
      </w:r>
    </w:p>
    <w:p w:rsidR="00133306" w:rsidRPr="002B76B2" w:rsidRDefault="00CB4A02" w:rsidP="00CC293F">
      <w:pPr>
        <w:pStyle w:val="ListParagraph"/>
        <w:numPr>
          <w:ilvl w:val="3"/>
          <w:numId w:val="3"/>
        </w:numPr>
        <w:tabs>
          <w:tab w:val="left" w:pos="1620"/>
        </w:tabs>
        <w:suppressAutoHyphens w:val="0"/>
        <w:autoSpaceDN/>
        <w:spacing w:after="200"/>
        <w:ind w:left="1620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 xml:space="preserve">O Cliente </w:t>
      </w:r>
      <w:r w:rsidR="00601824" w:rsidRPr="002B76B2">
        <w:rPr>
          <w:rFonts w:ascii="Calibri" w:hAnsi="Calibri"/>
          <w:sz w:val="22"/>
          <w:lang w:val="pt-PT"/>
        </w:rPr>
        <w:t>reconhece</w:t>
      </w:r>
      <w:r w:rsidRPr="002B76B2">
        <w:rPr>
          <w:rFonts w:ascii="Calibri" w:hAnsi="Calibri"/>
          <w:sz w:val="22"/>
          <w:lang w:val="pt-PT"/>
        </w:rPr>
        <w:t xml:space="preserve"> que a classificação de falsos positivos é subjetiva e compreende que a Microsoft poderá efetuar uma estimativa de boa fé do rácio de falsos positivos com base nas provas fornecidas atempadamente pelo Cliente.</w:t>
      </w:r>
    </w:p>
    <w:p w:rsidR="00133306" w:rsidRPr="002B76B2" w:rsidRDefault="00CB4A02" w:rsidP="00CC293F">
      <w:pPr>
        <w:pStyle w:val="ListParagraph"/>
        <w:numPr>
          <w:ilvl w:val="3"/>
          <w:numId w:val="3"/>
        </w:numPr>
        <w:tabs>
          <w:tab w:val="left" w:pos="1620"/>
        </w:tabs>
        <w:suppressAutoHyphens w:val="0"/>
        <w:autoSpaceDN/>
        <w:spacing w:after="200"/>
        <w:ind w:left="1620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Este Nível de Serviço de Falso Positivo não deve ser aplicado a:</w:t>
      </w:r>
    </w:p>
    <w:p w:rsidR="00133306" w:rsidRPr="002B76B2" w:rsidRDefault="00CB4A02" w:rsidP="007D7B02">
      <w:pPr>
        <w:pStyle w:val="ListParagraph"/>
        <w:numPr>
          <w:ilvl w:val="4"/>
          <w:numId w:val="3"/>
        </w:numPr>
        <w:suppressAutoHyphens w:val="0"/>
        <w:autoSpaceDN/>
        <w:spacing w:after="200"/>
        <w:ind w:left="2520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correio eletrónico em massa, pessoal ou pornográfico</w:t>
      </w:r>
    </w:p>
    <w:p w:rsidR="00133306" w:rsidRPr="002B76B2" w:rsidRDefault="00CB4A02" w:rsidP="007D7B02">
      <w:pPr>
        <w:pStyle w:val="ListParagraph"/>
        <w:numPr>
          <w:ilvl w:val="4"/>
          <w:numId w:val="3"/>
        </w:numPr>
        <w:suppressAutoHyphens w:val="0"/>
        <w:autoSpaceDN/>
        <w:spacing w:after="200"/>
        <w:ind w:left="2520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correio eletrónico com a maior parte de conteúdo que não está em inglês</w:t>
      </w:r>
    </w:p>
    <w:p w:rsidR="00133306" w:rsidRPr="002B76B2" w:rsidRDefault="00CB4A02" w:rsidP="007D7B02">
      <w:pPr>
        <w:pStyle w:val="ListParagraph"/>
        <w:numPr>
          <w:ilvl w:val="4"/>
          <w:numId w:val="3"/>
        </w:numPr>
        <w:suppressAutoHyphens w:val="0"/>
        <w:autoSpaceDN/>
        <w:spacing w:after="200"/>
        <w:ind w:left="2520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correio eletrónico bloqueado por uma regra de política, filtros de reputação ou filtros de ligação SMTP</w:t>
      </w:r>
    </w:p>
    <w:p w:rsidR="008E5B04" w:rsidRPr="002B76B2" w:rsidRDefault="00CB4A02" w:rsidP="007D7B02">
      <w:pPr>
        <w:pStyle w:val="ListParagraph"/>
        <w:numPr>
          <w:ilvl w:val="4"/>
          <w:numId w:val="3"/>
        </w:numPr>
        <w:suppressAutoHyphens w:val="0"/>
        <w:autoSpaceDN/>
        <w:spacing w:after="200"/>
        <w:ind w:left="2520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 xml:space="preserve">correio eletrónico </w:t>
      </w:r>
      <w:r w:rsidR="00ED3D5F" w:rsidRPr="002B76B2">
        <w:rPr>
          <w:rFonts w:ascii="Calibri" w:hAnsi="Calibri"/>
          <w:sz w:val="22"/>
          <w:lang w:val="pt-PT"/>
        </w:rPr>
        <w:t>enviado</w:t>
      </w:r>
      <w:r w:rsidRPr="002B76B2">
        <w:rPr>
          <w:rFonts w:ascii="Calibri" w:hAnsi="Calibri"/>
          <w:sz w:val="22"/>
          <w:lang w:val="pt-PT"/>
        </w:rPr>
        <w:t xml:space="preserve"> </w:t>
      </w:r>
      <w:r w:rsidR="00ED3D5F" w:rsidRPr="002B76B2">
        <w:rPr>
          <w:rFonts w:ascii="Calibri" w:hAnsi="Calibri"/>
          <w:sz w:val="22"/>
          <w:lang w:val="pt-PT"/>
        </w:rPr>
        <w:t>para a</w:t>
      </w:r>
      <w:r w:rsidRPr="002B76B2">
        <w:rPr>
          <w:rFonts w:ascii="Calibri" w:hAnsi="Calibri"/>
          <w:sz w:val="22"/>
          <w:lang w:val="pt-PT"/>
        </w:rPr>
        <w:t xml:space="preserve"> pasta de lixo</w:t>
      </w:r>
    </w:p>
    <w:p w:rsidR="00133306" w:rsidRPr="002B76B2" w:rsidRDefault="00CB4A02" w:rsidP="00CC293F">
      <w:pPr>
        <w:pStyle w:val="ListParagraph"/>
        <w:numPr>
          <w:ilvl w:val="3"/>
          <w:numId w:val="3"/>
        </w:numPr>
        <w:tabs>
          <w:tab w:val="left" w:pos="1620"/>
        </w:tabs>
        <w:suppressAutoHyphens w:val="0"/>
        <w:autoSpaceDN/>
        <w:spacing w:after="200"/>
        <w:ind w:left="1620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O Crédito de Serviço disponível para o Serviço de Falso Positivo é:</w:t>
      </w:r>
    </w:p>
    <w:p w:rsidR="007F4B3F" w:rsidRPr="002B76B2" w:rsidRDefault="007F4B3F" w:rsidP="007D7B02">
      <w:pPr>
        <w:pStyle w:val="ListParagraph"/>
        <w:suppressAutoHyphens w:val="0"/>
        <w:autoSpaceDN/>
        <w:spacing w:after="200"/>
        <w:ind w:left="1980"/>
        <w:textAlignment w:val="auto"/>
        <w:rPr>
          <w:rFonts w:ascii="Calibri" w:hAnsi="Calibri" w:cs="Calibri"/>
          <w:sz w:val="12"/>
          <w:szCs w:val="12"/>
          <w:lang w:val="pt-BR"/>
        </w:rPr>
      </w:pPr>
    </w:p>
    <w:tbl>
      <w:tblPr>
        <w:tblW w:w="7416" w:type="dxa"/>
        <w:tblInd w:w="1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55"/>
        <w:gridCol w:w="3661"/>
      </w:tblGrid>
      <w:tr w:rsidR="00133306" w:rsidRPr="002B76B2">
        <w:tc>
          <w:tcPr>
            <w:tcW w:w="3755" w:type="dxa"/>
            <w:shd w:val="clear" w:color="auto" w:fill="D9D9D9"/>
          </w:tcPr>
          <w:p w:rsidR="00133306" w:rsidRPr="002B76B2" w:rsidRDefault="00CB4A02" w:rsidP="00627D8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2B76B2">
              <w:rPr>
                <w:rFonts w:ascii="Calibri" w:hAnsi="Calibri"/>
                <w:sz w:val="22"/>
                <w:lang w:val="pt-PT"/>
              </w:rPr>
              <w:t>Rácio de Falsos Positivos num Mês de Calendário</w:t>
            </w:r>
          </w:p>
        </w:tc>
        <w:tc>
          <w:tcPr>
            <w:tcW w:w="3661" w:type="dxa"/>
            <w:shd w:val="clear" w:color="auto" w:fill="D9D9D9"/>
          </w:tcPr>
          <w:p w:rsidR="00133306" w:rsidRPr="002B76B2" w:rsidRDefault="00CB4A02" w:rsidP="00627D8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/>
                <w:sz w:val="22"/>
                <w:lang w:val="pt-PT"/>
              </w:rPr>
              <w:t>Crédito de Serviço</w:t>
            </w:r>
          </w:p>
        </w:tc>
      </w:tr>
      <w:tr w:rsidR="00133306" w:rsidRPr="002B76B2">
        <w:tc>
          <w:tcPr>
            <w:tcW w:w="3755" w:type="dxa"/>
          </w:tcPr>
          <w:p w:rsidR="00133306" w:rsidRPr="002B76B2" w:rsidRDefault="00133306" w:rsidP="00627D8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 w:cs="Calibri"/>
                <w:sz w:val="22"/>
                <w:szCs w:val="22"/>
              </w:rPr>
              <w:t>&gt; 1:250</w:t>
            </w:r>
            <w:r w:rsidR="00045AA1" w:rsidRPr="002B76B2">
              <w:rPr>
                <w:rFonts w:ascii="Calibri" w:hAnsi="Calibri" w:cs="Calibri"/>
                <w:sz w:val="22"/>
                <w:szCs w:val="22"/>
              </w:rPr>
              <w:t>.</w:t>
            </w:r>
            <w:r w:rsidRPr="002B76B2">
              <w:rPr>
                <w:rFonts w:ascii="Calibri" w:hAnsi="Calibri" w:cs="Calibri"/>
                <w:sz w:val="22"/>
                <w:szCs w:val="22"/>
              </w:rPr>
              <w:t>000</w:t>
            </w:r>
          </w:p>
        </w:tc>
        <w:tc>
          <w:tcPr>
            <w:tcW w:w="3661" w:type="dxa"/>
          </w:tcPr>
          <w:p w:rsidR="00133306" w:rsidRPr="002B76B2" w:rsidRDefault="00133306" w:rsidP="00627D8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 w:cs="Calibri"/>
                <w:sz w:val="22"/>
                <w:szCs w:val="22"/>
              </w:rPr>
              <w:t>25%</w:t>
            </w:r>
          </w:p>
        </w:tc>
      </w:tr>
      <w:tr w:rsidR="00133306" w:rsidRPr="002B76B2">
        <w:tc>
          <w:tcPr>
            <w:tcW w:w="3755" w:type="dxa"/>
          </w:tcPr>
          <w:p w:rsidR="00133306" w:rsidRPr="002B76B2" w:rsidRDefault="00133306" w:rsidP="00627D8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 w:cs="Calibri"/>
                <w:sz w:val="22"/>
                <w:szCs w:val="22"/>
              </w:rPr>
              <w:t>&gt; 1:10</w:t>
            </w:r>
            <w:r w:rsidR="00045AA1" w:rsidRPr="002B76B2">
              <w:rPr>
                <w:rFonts w:ascii="Calibri" w:hAnsi="Calibri" w:cs="Calibri"/>
                <w:sz w:val="22"/>
                <w:szCs w:val="22"/>
              </w:rPr>
              <w:t>.</w:t>
            </w:r>
            <w:r w:rsidRPr="002B76B2">
              <w:rPr>
                <w:rFonts w:ascii="Calibri" w:hAnsi="Calibri" w:cs="Calibri"/>
                <w:sz w:val="22"/>
                <w:szCs w:val="22"/>
              </w:rPr>
              <w:t>000</w:t>
            </w:r>
          </w:p>
        </w:tc>
        <w:tc>
          <w:tcPr>
            <w:tcW w:w="3661" w:type="dxa"/>
          </w:tcPr>
          <w:p w:rsidR="00133306" w:rsidRPr="002B76B2" w:rsidRDefault="00133306" w:rsidP="00627D8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 w:cs="Calibri"/>
                <w:sz w:val="22"/>
                <w:szCs w:val="22"/>
              </w:rPr>
              <w:t>50%</w:t>
            </w:r>
          </w:p>
        </w:tc>
      </w:tr>
      <w:tr w:rsidR="00133306" w:rsidRPr="002B76B2">
        <w:tc>
          <w:tcPr>
            <w:tcW w:w="3755" w:type="dxa"/>
          </w:tcPr>
          <w:p w:rsidR="00133306" w:rsidRPr="002B76B2" w:rsidRDefault="00133306" w:rsidP="00627D8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 w:cs="Calibri"/>
                <w:sz w:val="22"/>
                <w:szCs w:val="22"/>
              </w:rPr>
              <w:t>&gt; 1:100</w:t>
            </w:r>
          </w:p>
        </w:tc>
        <w:tc>
          <w:tcPr>
            <w:tcW w:w="3661" w:type="dxa"/>
          </w:tcPr>
          <w:p w:rsidR="00133306" w:rsidRPr="002B76B2" w:rsidRDefault="00133306" w:rsidP="00627D8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 w:cs="Calibri"/>
                <w:sz w:val="22"/>
                <w:szCs w:val="22"/>
              </w:rPr>
              <w:t>100%</w:t>
            </w:r>
          </w:p>
        </w:tc>
      </w:tr>
    </w:tbl>
    <w:p w:rsidR="00133306" w:rsidRPr="002B76B2" w:rsidRDefault="00133306" w:rsidP="007D7B02">
      <w:pPr>
        <w:pStyle w:val="ListParagraph"/>
        <w:ind w:left="2520"/>
        <w:rPr>
          <w:rFonts w:ascii="Calibri" w:hAnsi="Calibri" w:cs="Calibri"/>
          <w:b/>
          <w:sz w:val="22"/>
          <w:szCs w:val="22"/>
        </w:rPr>
      </w:pPr>
    </w:p>
    <w:p w:rsidR="008E5B04" w:rsidRPr="002B76B2" w:rsidRDefault="008E5B04" w:rsidP="007D7B02">
      <w:pPr>
        <w:pStyle w:val="ListParagraph"/>
        <w:numPr>
          <w:ilvl w:val="0"/>
          <w:numId w:val="12"/>
        </w:numPr>
        <w:suppressAutoHyphens w:val="0"/>
        <w:autoSpaceDN/>
        <w:spacing w:after="200"/>
        <w:ind w:left="1080"/>
        <w:textAlignment w:val="auto"/>
        <w:rPr>
          <w:rFonts w:ascii="Calibri" w:hAnsi="Calibri" w:cs="Calibri"/>
          <w:b/>
          <w:vanish/>
          <w:sz w:val="22"/>
          <w:szCs w:val="22"/>
        </w:rPr>
      </w:pPr>
    </w:p>
    <w:p w:rsidR="008E5B04" w:rsidRPr="002B76B2" w:rsidRDefault="008E5B04" w:rsidP="007D7B02">
      <w:pPr>
        <w:pStyle w:val="ListParagraph"/>
        <w:numPr>
          <w:ilvl w:val="0"/>
          <w:numId w:val="12"/>
        </w:numPr>
        <w:suppressAutoHyphens w:val="0"/>
        <w:autoSpaceDN/>
        <w:spacing w:after="200"/>
        <w:ind w:left="1080"/>
        <w:textAlignment w:val="auto"/>
        <w:rPr>
          <w:rFonts w:ascii="Calibri" w:hAnsi="Calibri" w:cs="Calibri"/>
          <w:b/>
          <w:vanish/>
          <w:sz w:val="22"/>
          <w:szCs w:val="22"/>
        </w:rPr>
      </w:pPr>
    </w:p>
    <w:p w:rsidR="008E5B04" w:rsidRPr="002B76B2" w:rsidRDefault="008E5B04" w:rsidP="007D7B02">
      <w:pPr>
        <w:pStyle w:val="ListParagraph"/>
        <w:numPr>
          <w:ilvl w:val="0"/>
          <w:numId w:val="12"/>
        </w:numPr>
        <w:suppressAutoHyphens w:val="0"/>
        <w:autoSpaceDN/>
        <w:spacing w:after="200"/>
        <w:ind w:left="1080"/>
        <w:textAlignment w:val="auto"/>
        <w:rPr>
          <w:rFonts w:ascii="Calibri" w:hAnsi="Calibri" w:cs="Calibri"/>
          <w:b/>
          <w:vanish/>
          <w:sz w:val="22"/>
          <w:szCs w:val="22"/>
        </w:rPr>
      </w:pPr>
    </w:p>
    <w:p w:rsidR="00E1176A" w:rsidRPr="002B76B2" w:rsidRDefault="00E1176A" w:rsidP="00627D84">
      <w:pPr>
        <w:rPr>
          <w:rFonts w:ascii="Calibri" w:hAnsi="Calibri" w:cs="Calibri"/>
          <w:sz w:val="22"/>
          <w:szCs w:val="22"/>
        </w:rPr>
      </w:pPr>
    </w:p>
    <w:p w:rsidR="009E2248" w:rsidRPr="002B76B2" w:rsidRDefault="00CB4A02" w:rsidP="00574183">
      <w:pPr>
        <w:pStyle w:val="ListParagraph"/>
        <w:numPr>
          <w:ilvl w:val="0"/>
          <w:numId w:val="15"/>
        </w:numPr>
        <w:rPr>
          <w:rFonts w:ascii="Calibri" w:hAnsi="Calibri" w:cs="Calibri"/>
          <w:b/>
          <w:sz w:val="22"/>
          <w:szCs w:val="22"/>
        </w:rPr>
      </w:pPr>
      <w:r w:rsidRPr="002B76B2">
        <w:rPr>
          <w:rFonts w:ascii="Calibri" w:hAnsi="Calibri"/>
          <w:b/>
          <w:sz w:val="22"/>
        </w:rPr>
        <w:t>Para Forefront Online Protection for Exchange (FOPE):</w:t>
      </w:r>
    </w:p>
    <w:p w:rsidR="009E2248" w:rsidRPr="002B76B2" w:rsidRDefault="009E2248" w:rsidP="00574183">
      <w:pPr>
        <w:pStyle w:val="ListParagraph"/>
        <w:rPr>
          <w:rFonts w:ascii="Calibri" w:hAnsi="Calibri" w:cs="Calibri"/>
          <w:sz w:val="22"/>
          <w:szCs w:val="22"/>
        </w:rPr>
      </w:pPr>
    </w:p>
    <w:p w:rsidR="00E1176A" w:rsidRPr="002B76B2" w:rsidRDefault="00CB4A02" w:rsidP="00504297">
      <w:pPr>
        <w:pStyle w:val="ListParagraph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Relativamente ao FOPE licenciado como um Serviço autónomo, conjunto ECAL, Forefront Protection Suite ou Exchange Enterprise CAL com Serviços, o Cliente pode ser elegível para Créditos de Serviço se a Microsoft não cumprir o Nível de Serviço descrito abaixo para:</w:t>
      </w:r>
      <w:r w:rsidR="00E1176A" w:rsidRPr="002B76B2">
        <w:rPr>
          <w:rFonts w:ascii="Calibri" w:hAnsi="Calibri" w:cs="Calibri"/>
          <w:sz w:val="22"/>
          <w:szCs w:val="22"/>
          <w:lang w:val="pt-BR"/>
        </w:rPr>
        <w:t xml:space="preserve"> </w:t>
      </w:r>
      <w:r w:rsidRPr="002B76B2">
        <w:rPr>
          <w:rFonts w:ascii="Calibri" w:hAnsi="Calibri"/>
          <w:sz w:val="22"/>
          <w:lang w:val="pt-PT"/>
        </w:rPr>
        <w:t>(1)</w:t>
      </w:r>
      <w:r w:rsidR="00504297" w:rsidRPr="002B76B2">
        <w:rPr>
          <w:rFonts w:ascii="Calibri" w:hAnsi="Calibri"/>
          <w:sz w:val="22"/>
          <w:lang w:val="pt-PT"/>
        </w:rPr>
        <w:t> </w:t>
      </w:r>
      <w:r w:rsidRPr="002B76B2">
        <w:rPr>
          <w:rFonts w:ascii="Calibri" w:hAnsi="Calibri"/>
          <w:sz w:val="22"/>
          <w:lang w:val="pt-PT"/>
        </w:rPr>
        <w:t>Tempo de Atividade e (2) En</w:t>
      </w:r>
      <w:r w:rsidR="00ED3D5F" w:rsidRPr="002B76B2">
        <w:rPr>
          <w:rFonts w:ascii="Calibri" w:hAnsi="Calibri"/>
          <w:sz w:val="22"/>
          <w:lang w:val="pt-PT"/>
        </w:rPr>
        <w:t xml:space="preserve">vio </w:t>
      </w:r>
      <w:r w:rsidRPr="002B76B2">
        <w:rPr>
          <w:rFonts w:ascii="Calibri" w:hAnsi="Calibri"/>
          <w:sz w:val="22"/>
          <w:lang w:val="pt-PT"/>
        </w:rPr>
        <w:t>de Correio Eletrónico.</w:t>
      </w:r>
      <w:r w:rsidR="000D77E2" w:rsidRPr="002B76B2">
        <w:rPr>
          <w:rFonts w:ascii="Calibri" w:hAnsi="Calibri" w:cs="Calibri"/>
          <w:sz w:val="22"/>
          <w:szCs w:val="22"/>
          <w:lang w:val="pt-BR"/>
        </w:rPr>
        <w:t xml:space="preserve"> </w:t>
      </w:r>
    </w:p>
    <w:p w:rsidR="001A21F4" w:rsidRPr="002B76B2" w:rsidRDefault="001A21F4" w:rsidP="007D7B02">
      <w:pPr>
        <w:ind w:left="360"/>
        <w:rPr>
          <w:rFonts w:ascii="Calibri" w:hAnsi="Calibri" w:cs="Calibri"/>
          <w:sz w:val="22"/>
          <w:szCs w:val="22"/>
          <w:lang w:val="pt-BR"/>
        </w:rPr>
      </w:pPr>
    </w:p>
    <w:p w:rsidR="001A21F4" w:rsidRPr="002B76B2" w:rsidRDefault="00CB4A02" w:rsidP="001A21F4">
      <w:pPr>
        <w:pStyle w:val="ListParagraph"/>
        <w:numPr>
          <w:ilvl w:val="0"/>
          <w:numId w:val="13"/>
        </w:numPr>
        <w:suppressAutoHyphens w:val="0"/>
        <w:autoSpaceDN/>
        <w:spacing w:after="200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Percentagem de Tempo de Atividade Mensal:</w:t>
      </w:r>
    </w:p>
    <w:p w:rsidR="004215DC" w:rsidRPr="002B76B2" w:rsidRDefault="004215DC" w:rsidP="007D7B02">
      <w:pPr>
        <w:pStyle w:val="ListParagraph"/>
        <w:tabs>
          <w:tab w:val="left" w:pos="-90"/>
          <w:tab w:val="left" w:pos="90"/>
          <w:tab w:val="left" w:pos="270"/>
        </w:tabs>
        <w:ind w:left="1080"/>
        <w:jc w:val="both"/>
        <w:rPr>
          <w:rFonts w:ascii="Calibri" w:hAnsi="Calibri" w:cs="Calibri"/>
          <w:sz w:val="22"/>
          <w:szCs w:val="22"/>
          <w:lang w:val="pt-BR"/>
        </w:rPr>
      </w:pPr>
    </w:p>
    <w:p w:rsidR="001A21F4" w:rsidRPr="002B76B2" w:rsidRDefault="00CB4A02" w:rsidP="007D7B02">
      <w:pPr>
        <w:pStyle w:val="ListParagraph"/>
        <w:tabs>
          <w:tab w:val="left" w:pos="-90"/>
          <w:tab w:val="left" w:pos="90"/>
          <w:tab w:val="left" w:pos="270"/>
        </w:tabs>
        <w:ind w:left="1080"/>
        <w:jc w:val="both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Se a Percentagem de Tempo de Atividade Mensal para FOPE se situar abaixo dos 99,999% durante um determinado mês, o Cliente poderá ficar elegível para o seguinte Crédito de Serviço:</w:t>
      </w:r>
    </w:p>
    <w:p w:rsidR="001A21F4" w:rsidRPr="002B76B2" w:rsidRDefault="001A21F4" w:rsidP="001A21F4">
      <w:pPr>
        <w:pStyle w:val="ListParagraph"/>
        <w:tabs>
          <w:tab w:val="left" w:pos="-90"/>
          <w:tab w:val="left" w:pos="0"/>
          <w:tab w:val="left" w:pos="270"/>
        </w:tabs>
        <w:ind w:left="360"/>
        <w:jc w:val="both"/>
        <w:rPr>
          <w:rFonts w:ascii="Calibri" w:hAnsi="Calibri" w:cs="Calibri"/>
          <w:sz w:val="22"/>
          <w:szCs w:val="22"/>
          <w:lang w:val="pt-BR"/>
        </w:rPr>
      </w:pPr>
    </w:p>
    <w:tbl>
      <w:tblPr>
        <w:tblW w:w="0" w:type="auto"/>
        <w:tblInd w:w="1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61"/>
        <w:gridCol w:w="3655"/>
      </w:tblGrid>
      <w:tr w:rsidR="001A21F4" w:rsidRPr="002B76B2">
        <w:tc>
          <w:tcPr>
            <w:tcW w:w="3761" w:type="dxa"/>
            <w:shd w:val="clear" w:color="auto" w:fill="D9D9D9"/>
          </w:tcPr>
          <w:p w:rsidR="001A21F4" w:rsidRPr="002B76B2" w:rsidRDefault="00CB4A02" w:rsidP="00845B16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sz w:val="22"/>
                <w:szCs w:val="22"/>
                <w:lang w:val="pt-BR"/>
              </w:rPr>
            </w:pPr>
            <w:r w:rsidRPr="002B76B2">
              <w:rPr>
                <w:rFonts w:ascii="Calibri" w:hAnsi="Calibri"/>
                <w:sz w:val="22"/>
                <w:lang w:val="pt-PT"/>
              </w:rPr>
              <w:t>Percentagem de Tempo de Atividade Mensal</w:t>
            </w:r>
          </w:p>
        </w:tc>
        <w:tc>
          <w:tcPr>
            <w:tcW w:w="3655" w:type="dxa"/>
            <w:shd w:val="clear" w:color="auto" w:fill="D9D9D9"/>
          </w:tcPr>
          <w:p w:rsidR="001A21F4" w:rsidRPr="002B76B2" w:rsidRDefault="00CB4A02" w:rsidP="00845B16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B76B2">
              <w:rPr>
                <w:rFonts w:ascii="Calibri" w:hAnsi="Calibri"/>
                <w:sz w:val="22"/>
                <w:lang w:val="pt-PT"/>
              </w:rPr>
              <w:t>Crédito de Serviço</w:t>
            </w:r>
          </w:p>
        </w:tc>
      </w:tr>
      <w:tr w:rsidR="001A21F4" w:rsidRPr="002B76B2">
        <w:tc>
          <w:tcPr>
            <w:tcW w:w="3761" w:type="dxa"/>
          </w:tcPr>
          <w:p w:rsidR="001A21F4" w:rsidRPr="002B76B2" w:rsidRDefault="001A21F4" w:rsidP="00845B16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B76B2">
              <w:rPr>
                <w:rFonts w:ascii="Calibri" w:hAnsi="Calibri" w:cs="Calibri"/>
                <w:sz w:val="22"/>
                <w:szCs w:val="22"/>
              </w:rPr>
              <w:t>&lt;99</w:t>
            </w:r>
            <w:r w:rsidR="00045AA1" w:rsidRPr="002B76B2">
              <w:rPr>
                <w:rFonts w:ascii="Calibri" w:hAnsi="Calibri" w:cs="Calibri"/>
                <w:sz w:val="22"/>
                <w:szCs w:val="22"/>
              </w:rPr>
              <w:t>,</w:t>
            </w:r>
            <w:r w:rsidRPr="002B76B2">
              <w:rPr>
                <w:rFonts w:ascii="Calibri" w:hAnsi="Calibri" w:cs="Calibri"/>
                <w:sz w:val="22"/>
                <w:szCs w:val="22"/>
              </w:rPr>
              <w:t>999%</w:t>
            </w:r>
          </w:p>
        </w:tc>
        <w:tc>
          <w:tcPr>
            <w:tcW w:w="3655" w:type="dxa"/>
          </w:tcPr>
          <w:p w:rsidR="001A21F4" w:rsidRPr="002B76B2" w:rsidRDefault="001A21F4" w:rsidP="00845B16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B76B2">
              <w:rPr>
                <w:rFonts w:ascii="Calibri" w:hAnsi="Calibri" w:cs="Calibri"/>
                <w:sz w:val="22"/>
                <w:szCs w:val="22"/>
              </w:rPr>
              <w:t>25%</w:t>
            </w:r>
          </w:p>
        </w:tc>
      </w:tr>
      <w:tr w:rsidR="001A21F4" w:rsidRPr="002B76B2">
        <w:tc>
          <w:tcPr>
            <w:tcW w:w="3761" w:type="dxa"/>
          </w:tcPr>
          <w:p w:rsidR="001A21F4" w:rsidRPr="002B76B2" w:rsidRDefault="001A21F4" w:rsidP="00845B16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B76B2">
              <w:rPr>
                <w:rFonts w:ascii="Calibri" w:hAnsi="Calibri" w:cs="Calibri"/>
                <w:sz w:val="22"/>
                <w:szCs w:val="22"/>
              </w:rPr>
              <w:t>&lt;99</w:t>
            </w:r>
            <w:r w:rsidR="00045AA1" w:rsidRPr="002B76B2">
              <w:rPr>
                <w:rFonts w:ascii="Calibri" w:hAnsi="Calibri" w:cs="Calibri"/>
                <w:sz w:val="22"/>
                <w:szCs w:val="22"/>
              </w:rPr>
              <w:t>,</w:t>
            </w:r>
            <w:r w:rsidRPr="002B76B2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  <w:tc>
          <w:tcPr>
            <w:tcW w:w="3655" w:type="dxa"/>
          </w:tcPr>
          <w:p w:rsidR="001A21F4" w:rsidRPr="002B76B2" w:rsidRDefault="001A21F4" w:rsidP="00845B16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B76B2">
              <w:rPr>
                <w:rFonts w:ascii="Calibri" w:hAnsi="Calibri" w:cs="Calibri"/>
                <w:sz w:val="22"/>
                <w:szCs w:val="22"/>
              </w:rPr>
              <w:t>50%</w:t>
            </w:r>
          </w:p>
        </w:tc>
      </w:tr>
      <w:tr w:rsidR="001A21F4" w:rsidRPr="002B76B2">
        <w:tc>
          <w:tcPr>
            <w:tcW w:w="3761" w:type="dxa"/>
          </w:tcPr>
          <w:p w:rsidR="001A21F4" w:rsidRPr="002B76B2" w:rsidRDefault="001A21F4" w:rsidP="00845B16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B76B2">
              <w:rPr>
                <w:rFonts w:ascii="Calibri" w:hAnsi="Calibri" w:cs="Calibri"/>
                <w:sz w:val="22"/>
                <w:szCs w:val="22"/>
              </w:rPr>
              <w:t>&lt;98</w:t>
            </w:r>
            <w:r w:rsidR="00045AA1" w:rsidRPr="002B76B2">
              <w:rPr>
                <w:rFonts w:ascii="Calibri" w:hAnsi="Calibri" w:cs="Calibri"/>
                <w:sz w:val="22"/>
                <w:szCs w:val="22"/>
              </w:rPr>
              <w:t>,</w:t>
            </w:r>
            <w:r w:rsidRPr="002B76B2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  <w:tc>
          <w:tcPr>
            <w:tcW w:w="3655" w:type="dxa"/>
          </w:tcPr>
          <w:p w:rsidR="001A21F4" w:rsidRPr="002B76B2" w:rsidRDefault="001A21F4" w:rsidP="00845B16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B76B2">
              <w:rPr>
                <w:rFonts w:ascii="Calibri" w:hAnsi="Calibri" w:cs="Calibri"/>
                <w:sz w:val="22"/>
                <w:szCs w:val="22"/>
              </w:rPr>
              <w:t>100%</w:t>
            </w:r>
          </w:p>
        </w:tc>
      </w:tr>
    </w:tbl>
    <w:p w:rsidR="001A21F4" w:rsidRPr="002B76B2" w:rsidRDefault="001A21F4" w:rsidP="007D7B02">
      <w:pPr>
        <w:ind w:left="720"/>
        <w:rPr>
          <w:rFonts w:ascii="Calibri" w:hAnsi="Calibri" w:cs="Calibri"/>
          <w:sz w:val="22"/>
          <w:szCs w:val="22"/>
        </w:rPr>
      </w:pPr>
    </w:p>
    <w:p w:rsidR="004215DC" w:rsidRPr="002B76B2" w:rsidRDefault="00CB4A02" w:rsidP="007D7B02">
      <w:pPr>
        <w:pStyle w:val="ListParagraph"/>
        <w:numPr>
          <w:ilvl w:val="0"/>
          <w:numId w:val="13"/>
        </w:numPr>
        <w:suppressAutoHyphens w:val="0"/>
        <w:autoSpaceDN/>
        <w:spacing w:after="200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Nível de Serviço d</w:t>
      </w:r>
      <w:r w:rsidR="00ED3D5F" w:rsidRPr="002B76B2">
        <w:rPr>
          <w:rFonts w:ascii="Calibri" w:hAnsi="Calibri"/>
          <w:sz w:val="22"/>
          <w:lang w:val="pt-PT"/>
        </w:rPr>
        <w:t xml:space="preserve">e Envio </w:t>
      </w:r>
      <w:r w:rsidRPr="002B76B2">
        <w:rPr>
          <w:rFonts w:ascii="Calibri" w:hAnsi="Calibri"/>
          <w:sz w:val="22"/>
          <w:lang w:val="pt-PT"/>
        </w:rPr>
        <w:t>de Correio Eletrónico:</w:t>
      </w:r>
    </w:p>
    <w:p w:rsidR="004215DC" w:rsidRPr="002B76B2" w:rsidRDefault="004215DC" w:rsidP="007D7B02">
      <w:pPr>
        <w:pStyle w:val="ListParagraph"/>
        <w:suppressAutoHyphens w:val="0"/>
        <w:autoSpaceDN/>
        <w:spacing w:after="200"/>
        <w:ind w:left="1080"/>
        <w:textAlignment w:val="auto"/>
        <w:rPr>
          <w:rFonts w:ascii="Calibri" w:hAnsi="Calibri" w:cs="Calibri"/>
          <w:b/>
          <w:sz w:val="22"/>
          <w:szCs w:val="22"/>
          <w:lang w:val="pt-BR"/>
        </w:rPr>
      </w:pPr>
    </w:p>
    <w:p w:rsidR="004215DC" w:rsidRPr="002B76B2" w:rsidRDefault="00CB4A02" w:rsidP="00D16D90">
      <w:pPr>
        <w:pStyle w:val="ListParagraph"/>
        <w:numPr>
          <w:ilvl w:val="3"/>
          <w:numId w:val="13"/>
        </w:numPr>
        <w:tabs>
          <w:tab w:val="left" w:pos="1620"/>
        </w:tabs>
        <w:suppressAutoHyphens w:val="0"/>
        <w:autoSpaceDN/>
        <w:spacing w:after="200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 xml:space="preserve">“Tempo de </w:t>
      </w:r>
      <w:r w:rsidR="00ED3D5F" w:rsidRPr="002B76B2">
        <w:rPr>
          <w:rFonts w:ascii="Calibri" w:hAnsi="Calibri"/>
          <w:sz w:val="22"/>
          <w:lang w:val="pt-PT"/>
        </w:rPr>
        <w:t xml:space="preserve">Envio </w:t>
      </w:r>
      <w:r w:rsidRPr="002B76B2">
        <w:rPr>
          <w:rFonts w:ascii="Calibri" w:hAnsi="Calibri"/>
          <w:sz w:val="22"/>
          <w:lang w:val="pt-PT"/>
        </w:rPr>
        <w:t xml:space="preserve">de Correio Eletrónico” é definido como a média do tempo de </w:t>
      </w:r>
      <w:r w:rsidR="00ED3D5F" w:rsidRPr="002B76B2">
        <w:rPr>
          <w:rFonts w:ascii="Calibri" w:hAnsi="Calibri"/>
          <w:sz w:val="22"/>
          <w:lang w:val="pt-PT"/>
        </w:rPr>
        <w:t>envio</w:t>
      </w:r>
      <w:r w:rsidRPr="002B76B2">
        <w:rPr>
          <w:rFonts w:ascii="Calibri" w:hAnsi="Calibri"/>
          <w:sz w:val="22"/>
          <w:lang w:val="pt-PT"/>
        </w:rPr>
        <w:t xml:space="preserve"> de correio eletrónico, calculada em minutos num mês de calendário, onde </w:t>
      </w:r>
      <w:r w:rsidR="00ED3D5F" w:rsidRPr="002B76B2">
        <w:rPr>
          <w:rFonts w:ascii="Calibri" w:hAnsi="Calibri"/>
          <w:sz w:val="22"/>
          <w:lang w:val="pt-PT"/>
        </w:rPr>
        <w:t xml:space="preserve">o envio </w:t>
      </w:r>
      <w:r w:rsidRPr="002B76B2">
        <w:rPr>
          <w:rFonts w:ascii="Calibri" w:hAnsi="Calibri"/>
          <w:sz w:val="22"/>
          <w:lang w:val="pt-PT"/>
        </w:rPr>
        <w:t>de correio eletrónico é definid</w:t>
      </w:r>
      <w:r w:rsidR="00ED3D5F" w:rsidRPr="002B76B2">
        <w:rPr>
          <w:rFonts w:ascii="Calibri" w:hAnsi="Calibri"/>
          <w:sz w:val="22"/>
          <w:lang w:val="pt-PT"/>
        </w:rPr>
        <w:t>o</w:t>
      </w:r>
      <w:r w:rsidRPr="002B76B2">
        <w:rPr>
          <w:rFonts w:ascii="Calibri" w:hAnsi="Calibri"/>
          <w:sz w:val="22"/>
          <w:lang w:val="pt-PT"/>
        </w:rPr>
        <w:t xml:space="preserve"> como o tempo decorrido desde o momento em que uma mensagem de correio eletrónico comercial entra na rede do FOPE até à primeira tentativa de en</w:t>
      </w:r>
      <w:r w:rsidR="00ED3D5F" w:rsidRPr="002B76B2">
        <w:rPr>
          <w:rFonts w:ascii="Calibri" w:hAnsi="Calibri"/>
          <w:sz w:val="22"/>
          <w:lang w:val="pt-PT"/>
        </w:rPr>
        <w:t>vio</w:t>
      </w:r>
      <w:r w:rsidRPr="002B76B2">
        <w:rPr>
          <w:rFonts w:ascii="Calibri" w:hAnsi="Calibri"/>
          <w:sz w:val="22"/>
          <w:lang w:val="pt-PT"/>
        </w:rPr>
        <w:t>.</w:t>
      </w:r>
    </w:p>
    <w:p w:rsidR="004215DC" w:rsidRPr="002B76B2" w:rsidRDefault="00CB4A02" w:rsidP="00D16D90">
      <w:pPr>
        <w:pStyle w:val="ListParagraph"/>
        <w:numPr>
          <w:ilvl w:val="3"/>
          <w:numId w:val="13"/>
        </w:numPr>
        <w:tabs>
          <w:tab w:val="left" w:pos="1620"/>
        </w:tabs>
        <w:suppressAutoHyphens w:val="0"/>
        <w:autoSpaceDN/>
        <w:spacing w:after="200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lastRenderedPageBreak/>
        <w:t xml:space="preserve">O Tempo de </w:t>
      </w:r>
      <w:r w:rsidR="00ED3D5F" w:rsidRPr="002B76B2">
        <w:rPr>
          <w:rFonts w:ascii="Calibri" w:hAnsi="Calibri"/>
          <w:sz w:val="22"/>
          <w:lang w:val="pt-PT"/>
        </w:rPr>
        <w:t>Envio</w:t>
      </w:r>
      <w:r w:rsidRPr="002B76B2">
        <w:rPr>
          <w:rFonts w:ascii="Calibri" w:hAnsi="Calibri"/>
          <w:sz w:val="22"/>
          <w:lang w:val="pt-PT"/>
        </w:rPr>
        <w:t xml:space="preserve"> de Correio Eletrónico é calculado e registado de 5 em 5 minutos, em seguida, é ordenado pelo tempo decorrido.</w:t>
      </w:r>
      <w:r w:rsidR="004215DC" w:rsidRPr="002B76B2">
        <w:rPr>
          <w:rFonts w:ascii="Calibri" w:hAnsi="Calibri" w:cs="Calibri"/>
          <w:sz w:val="22"/>
          <w:szCs w:val="22"/>
          <w:lang w:val="pt-BR"/>
        </w:rPr>
        <w:t xml:space="preserve"> </w:t>
      </w:r>
      <w:r w:rsidRPr="002B76B2">
        <w:rPr>
          <w:rFonts w:ascii="Calibri" w:hAnsi="Calibri"/>
          <w:sz w:val="22"/>
          <w:lang w:val="pt-PT"/>
        </w:rPr>
        <w:t>Os 95% mais rápidos dos cálculos são utilizados para criar a média para o mês de calendário.</w:t>
      </w:r>
    </w:p>
    <w:p w:rsidR="004215DC" w:rsidRPr="002B76B2" w:rsidRDefault="00CB4A02" w:rsidP="00D16D90">
      <w:pPr>
        <w:pStyle w:val="ListParagraph"/>
        <w:numPr>
          <w:ilvl w:val="3"/>
          <w:numId w:val="13"/>
        </w:numPr>
        <w:tabs>
          <w:tab w:val="left" w:pos="1620"/>
        </w:tabs>
        <w:suppressAutoHyphens w:val="0"/>
        <w:autoSpaceDN/>
        <w:spacing w:after="200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A Microsoft utiliza mensagens de correio eletrónico simuladas ou de teste para calcular o tempo de en</w:t>
      </w:r>
      <w:r w:rsidR="00ED3D5F" w:rsidRPr="002B76B2">
        <w:rPr>
          <w:rFonts w:ascii="Calibri" w:hAnsi="Calibri"/>
          <w:sz w:val="22"/>
          <w:lang w:val="pt-PT"/>
        </w:rPr>
        <w:t>vio</w:t>
      </w:r>
      <w:r w:rsidRPr="002B76B2">
        <w:rPr>
          <w:rFonts w:ascii="Calibri" w:hAnsi="Calibri"/>
          <w:sz w:val="22"/>
          <w:lang w:val="pt-PT"/>
        </w:rPr>
        <w:t>.</w:t>
      </w:r>
    </w:p>
    <w:p w:rsidR="004215DC" w:rsidRPr="002B76B2" w:rsidRDefault="00CB4A02" w:rsidP="00D16D90">
      <w:pPr>
        <w:pStyle w:val="ListParagraph"/>
        <w:numPr>
          <w:ilvl w:val="3"/>
          <w:numId w:val="13"/>
        </w:numPr>
        <w:tabs>
          <w:tab w:val="left" w:pos="1620"/>
        </w:tabs>
        <w:suppressAutoHyphens w:val="0"/>
        <w:autoSpaceDN/>
        <w:spacing w:after="200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O Nível de Serviço de E</w:t>
      </w:r>
      <w:r w:rsidR="00ED3D5F" w:rsidRPr="002B76B2">
        <w:rPr>
          <w:rFonts w:ascii="Calibri" w:hAnsi="Calibri"/>
          <w:sz w:val="22"/>
          <w:lang w:val="pt-PT"/>
        </w:rPr>
        <w:t xml:space="preserve">nvio </w:t>
      </w:r>
      <w:r w:rsidRPr="002B76B2">
        <w:rPr>
          <w:rFonts w:ascii="Calibri" w:hAnsi="Calibri"/>
          <w:sz w:val="22"/>
          <w:lang w:val="pt-PT"/>
        </w:rPr>
        <w:t xml:space="preserve">de Correio Eletrónico aplica-se apenas ao correio eletrónico comercial legítimo (correio eletrónico que não é em massa) </w:t>
      </w:r>
      <w:r w:rsidR="00ED3D5F" w:rsidRPr="002B76B2">
        <w:rPr>
          <w:rFonts w:ascii="Calibri" w:hAnsi="Calibri"/>
          <w:sz w:val="22"/>
          <w:lang w:val="pt-PT"/>
        </w:rPr>
        <w:t xml:space="preserve">enviado para </w:t>
      </w:r>
      <w:r w:rsidRPr="002B76B2">
        <w:rPr>
          <w:rFonts w:ascii="Calibri" w:hAnsi="Calibri"/>
          <w:sz w:val="22"/>
          <w:lang w:val="pt-PT"/>
        </w:rPr>
        <w:t>contas de correio eletrónico válidas.</w:t>
      </w:r>
    </w:p>
    <w:p w:rsidR="004215DC" w:rsidRPr="002B76B2" w:rsidRDefault="00CB4A02" w:rsidP="00D16D90">
      <w:pPr>
        <w:pStyle w:val="ListParagraph"/>
        <w:numPr>
          <w:ilvl w:val="3"/>
          <w:numId w:val="13"/>
        </w:numPr>
        <w:tabs>
          <w:tab w:val="left" w:pos="1620"/>
        </w:tabs>
        <w:suppressAutoHyphens w:val="0"/>
        <w:autoSpaceDN/>
        <w:spacing w:after="200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Este Nível de Serviço de En</w:t>
      </w:r>
      <w:r w:rsidR="00ED3D5F" w:rsidRPr="002B76B2">
        <w:rPr>
          <w:rFonts w:ascii="Calibri" w:hAnsi="Calibri"/>
          <w:sz w:val="22"/>
          <w:lang w:val="pt-PT"/>
        </w:rPr>
        <w:t>vio</w:t>
      </w:r>
      <w:r w:rsidRPr="002B76B2">
        <w:rPr>
          <w:rFonts w:ascii="Calibri" w:hAnsi="Calibri"/>
          <w:sz w:val="22"/>
          <w:lang w:val="pt-PT"/>
        </w:rPr>
        <w:t xml:space="preserve"> de Correio Eletrónico não se aplica a:</w:t>
      </w:r>
    </w:p>
    <w:p w:rsidR="004215DC" w:rsidRPr="002B76B2" w:rsidRDefault="00CB4A02" w:rsidP="004215DC">
      <w:pPr>
        <w:pStyle w:val="ListParagraph"/>
        <w:numPr>
          <w:ilvl w:val="4"/>
          <w:numId w:val="13"/>
        </w:numPr>
        <w:suppressAutoHyphens w:val="0"/>
        <w:autoSpaceDN/>
        <w:spacing w:after="200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En</w:t>
      </w:r>
      <w:r w:rsidR="00ED3D5F" w:rsidRPr="002B76B2">
        <w:rPr>
          <w:rFonts w:ascii="Calibri" w:hAnsi="Calibri"/>
          <w:sz w:val="22"/>
          <w:lang w:val="pt-PT"/>
        </w:rPr>
        <w:t>vio</w:t>
      </w:r>
      <w:r w:rsidRPr="002B76B2">
        <w:rPr>
          <w:rFonts w:ascii="Calibri" w:hAnsi="Calibri"/>
          <w:sz w:val="22"/>
          <w:lang w:val="pt-PT"/>
        </w:rPr>
        <w:t xml:space="preserve"> de correio eletrónico </w:t>
      </w:r>
      <w:r w:rsidR="00ED3D5F" w:rsidRPr="002B76B2">
        <w:rPr>
          <w:rFonts w:ascii="Calibri" w:hAnsi="Calibri"/>
          <w:sz w:val="22"/>
          <w:lang w:val="pt-PT"/>
        </w:rPr>
        <w:t>para</w:t>
      </w:r>
      <w:r w:rsidRPr="002B76B2">
        <w:rPr>
          <w:rFonts w:ascii="Calibri" w:hAnsi="Calibri"/>
          <w:sz w:val="22"/>
          <w:lang w:val="pt-PT"/>
        </w:rPr>
        <w:t xml:space="preserve"> quarentena ou arquivo</w:t>
      </w:r>
    </w:p>
    <w:p w:rsidR="004215DC" w:rsidRPr="002B76B2" w:rsidRDefault="00CB4A02" w:rsidP="004215DC">
      <w:pPr>
        <w:pStyle w:val="ListParagraph"/>
        <w:numPr>
          <w:ilvl w:val="4"/>
          <w:numId w:val="13"/>
        </w:numPr>
        <w:suppressAutoHyphens w:val="0"/>
        <w:autoSpaceDN/>
        <w:spacing w:after="200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Correio eletrónico em filas de diferimento</w:t>
      </w:r>
    </w:p>
    <w:p w:rsidR="004215DC" w:rsidRPr="002B76B2" w:rsidRDefault="00CB4A02" w:rsidP="004215DC">
      <w:pPr>
        <w:pStyle w:val="ListParagraph"/>
        <w:numPr>
          <w:ilvl w:val="4"/>
          <w:numId w:val="13"/>
        </w:numPr>
        <w:suppressAutoHyphens w:val="0"/>
        <w:autoSpaceDN/>
        <w:spacing w:after="200"/>
        <w:textAlignment w:val="auto"/>
        <w:rPr>
          <w:rFonts w:ascii="Calibri" w:hAnsi="Calibri" w:cs="Calibri"/>
          <w:sz w:val="22"/>
          <w:szCs w:val="22"/>
        </w:rPr>
      </w:pPr>
      <w:r w:rsidRPr="002B76B2">
        <w:rPr>
          <w:rFonts w:ascii="Calibri" w:hAnsi="Calibri"/>
          <w:sz w:val="22"/>
          <w:lang w:val="pt-PT"/>
        </w:rPr>
        <w:t>Ataques Denial of service (DoS)</w:t>
      </w:r>
    </w:p>
    <w:p w:rsidR="004215DC" w:rsidRPr="002B76B2" w:rsidRDefault="00CB4A02" w:rsidP="004215DC">
      <w:pPr>
        <w:pStyle w:val="ListParagraph"/>
        <w:numPr>
          <w:ilvl w:val="4"/>
          <w:numId w:val="13"/>
        </w:numPr>
        <w:suppressAutoHyphens w:val="0"/>
        <w:autoSpaceDN/>
        <w:spacing w:after="200"/>
        <w:textAlignment w:val="auto"/>
        <w:rPr>
          <w:rFonts w:ascii="Calibri" w:hAnsi="Calibri" w:cs="Calibri"/>
          <w:sz w:val="22"/>
          <w:szCs w:val="22"/>
        </w:rPr>
      </w:pPr>
      <w:r w:rsidRPr="002B76B2">
        <w:rPr>
          <w:rFonts w:ascii="Calibri" w:hAnsi="Calibri"/>
          <w:sz w:val="22"/>
          <w:lang w:val="pt-PT"/>
        </w:rPr>
        <w:t>Ciclos infinitos de correio eletrónico</w:t>
      </w:r>
    </w:p>
    <w:p w:rsidR="004215DC" w:rsidRPr="002B76B2" w:rsidRDefault="00CB4A02" w:rsidP="00D16D90">
      <w:pPr>
        <w:pStyle w:val="ListParagraph"/>
        <w:numPr>
          <w:ilvl w:val="3"/>
          <w:numId w:val="13"/>
        </w:numPr>
        <w:tabs>
          <w:tab w:val="left" w:pos="1620"/>
        </w:tabs>
        <w:suppressAutoHyphens w:val="0"/>
        <w:autoSpaceDN/>
        <w:spacing w:after="200"/>
        <w:textAlignment w:val="auto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O Crédito de Serviço disponível para o Serviço de En</w:t>
      </w:r>
      <w:r w:rsidR="00ED3D5F" w:rsidRPr="002B76B2">
        <w:rPr>
          <w:rFonts w:ascii="Calibri" w:hAnsi="Calibri"/>
          <w:sz w:val="22"/>
          <w:lang w:val="pt-PT"/>
        </w:rPr>
        <w:t>vio</w:t>
      </w:r>
      <w:r w:rsidRPr="002B76B2">
        <w:rPr>
          <w:rFonts w:ascii="Calibri" w:hAnsi="Calibri"/>
          <w:sz w:val="22"/>
          <w:lang w:val="pt-PT"/>
        </w:rPr>
        <w:t xml:space="preserve"> de Correio Eletrónico é:</w:t>
      </w:r>
    </w:p>
    <w:p w:rsidR="004215DC" w:rsidRPr="002B76B2" w:rsidRDefault="004215DC" w:rsidP="004215DC">
      <w:pPr>
        <w:pStyle w:val="ListParagraph"/>
        <w:suppressAutoHyphens w:val="0"/>
        <w:autoSpaceDN/>
        <w:spacing w:after="200"/>
        <w:ind w:left="1980"/>
        <w:textAlignment w:val="auto"/>
        <w:rPr>
          <w:rFonts w:ascii="Calibri" w:hAnsi="Calibri" w:cs="Calibri"/>
          <w:sz w:val="22"/>
          <w:szCs w:val="22"/>
          <w:lang w:val="pt-BR"/>
        </w:rPr>
      </w:pPr>
    </w:p>
    <w:tbl>
      <w:tblPr>
        <w:tblW w:w="7546" w:type="dxa"/>
        <w:tblInd w:w="1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71"/>
        <w:gridCol w:w="3375"/>
      </w:tblGrid>
      <w:tr w:rsidR="004215DC" w:rsidRPr="002B76B2">
        <w:trPr>
          <w:trHeight w:val="525"/>
        </w:trPr>
        <w:tc>
          <w:tcPr>
            <w:tcW w:w="4171" w:type="dxa"/>
            <w:shd w:val="clear" w:color="auto" w:fill="D9D9D9"/>
          </w:tcPr>
          <w:p w:rsidR="004215DC" w:rsidRPr="002B76B2" w:rsidRDefault="00CB4A02" w:rsidP="00845B16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2B76B2">
              <w:rPr>
                <w:rFonts w:ascii="Calibri" w:hAnsi="Calibri"/>
                <w:sz w:val="22"/>
                <w:lang w:val="pt-PT"/>
              </w:rPr>
              <w:t>Média do Tempo de En</w:t>
            </w:r>
            <w:r w:rsidR="00ED3D5F" w:rsidRPr="002B76B2">
              <w:rPr>
                <w:rFonts w:ascii="Calibri" w:hAnsi="Calibri"/>
                <w:sz w:val="22"/>
                <w:lang w:val="pt-PT"/>
              </w:rPr>
              <w:t>vio</w:t>
            </w:r>
            <w:r w:rsidRPr="002B76B2">
              <w:rPr>
                <w:rFonts w:ascii="Calibri" w:hAnsi="Calibri"/>
                <w:sz w:val="22"/>
                <w:lang w:val="pt-PT"/>
              </w:rPr>
              <w:t xml:space="preserve"> de Correio Eletrónico</w:t>
            </w:r>
          </w:p>
          <w:p w:rsidR="004215DC" w:rsidRPr="002B76B2" w:rsidRDefault="00CB4A02" w:rsidP="00845B16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/>
                <w:sz w:val="22"/>
                <w:lang w:val="pt-PT"/>
              </w:rPr>
              <w:t>(conforme definido acima)</w:t>
            </w:r>
          </w:p>
        </w:tc>
        <w:tc>
          <w:tcPr>
            <w:tcW w:w="3375" w:type="dxa"/>
            <w:shd w:val="clear" w:color="auto" w:fill="D9D9D9"/>
          </w:tcPr>
          <w:p w:rsidR="004215DC" w:rsidRPr="002B76B2" w:rsidRDefault="00CB4A02" w:rsidP="00845B16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/>
                <w:sz w:val="22"/>
                <w:lang w:val="pt-PT"/>
              </w:rPr>
              <w:t>Crédito de Serviço</w:t>
            </w:r>
          </w:p>
        </w:tc>
      </w:tr>
      <w:tr w:rsidR="004215DC" w:rsidRPr="002B76B2">
        <w:trPr>
          <w:trHeight w:val="270"/>
        </w:trPr>
        <w:tc>
          <w:tcPr>
            <w:tcW w:w="4171" w:type="dxa"/>
          </w:tcPr>
          <w:p w:rsidR="004215DC" w:rsidRPr="002B76B2" w:rsidRDefault="004215DC" w:rsidP="00845B16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 w:cs="Calibri"/>
                <w:sz w:val="22"/>
                <w:szCs w:val="22"/>
              </w:rPr>
              <w:t>&gt; 1</w:t>
            </w:r>
          </w:p>
        </w:tc>
        <w:tc>
          <w:tcPr>
            <w:tcW w:w="3375" w:type="dxa"/>
          </w:tcPr>
          <w:p w:rsidR="004215DC" w:rsidRPr="002B76B2" w:rsidRDefault="004215DC" w:rsidP="00845B16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 w:cs="Calibri"/>
                <w:sz w:val="22"/>
                <w:szCs w:val="22"/>
              </w:rPr>
              <w:t>25%</w:t>
            </w:r>
          </w:p>
        </w:tc>
      </w:tr>
      <w:tr w:rsidR="004215DC" w:rsidRPr="002B76B2">
        <w:trPr>
          <w:trHeight w:val="270"/>
        </w:trPr>
        <w:tc>
          <w:tcPr>
            <w:tcW w:w="4171" w:type="dxa"/>
          </w:tcPr>
          <w:p w:rsidR="004215DC" w:rsidRPr="002B76B2" w:rsidRDefault="004215DC" w:rsidP="00845B16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 w:cs="Calibri"/>
                <w:sz w:val="22"/>
                <w:szCs w:val="22"/>
              </w:rPr>
              <w:t>&gt; 4</w:t>
            </w:r>
          </w:p>
        </w:tc>
        <w:tc>
          <w:tcPr>
            <w:tcW w:w="3375" w:type="dxa"/>
          </w:tcPr>
          <w:p w:rsidR="004215DC" w:rsidRPr="002B76B2" w:rsidRDefault="004215DC" w:rsidP="00845B16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 w:cs="Calibri"/>
                <w:sz w:val="22"/>
                <w:szCs w:val="22"/>
              </w:rPr>
              <w:t>50%</w:t>
            </w:r>
          </w:p>
        </w:tc>
      </w:tr>
      <w:tr w:rsidR="004215DC" w:rsidRPr="002B76B2">
        <w:trPr>
          <w:trHeight w:val="270"/>
        </w:trPr>
        <w:tc>
          <w:tcPr>
            <w:tcW w:w="4171" w:type="dxa"/>
          </w:tcPr>
          <w:p w:rsidR="004215DC" w:rsidRPr="002B76B2" w:rsidRDefault="004215DC" w:rsidP="00845B16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 w:cs="Calibri"/>
                <w:sz w:val="22"/>
                <w:szCs w:val="22"/>
              </w:rPr>
              <w:t>&gt; 10</w:t>
            </w:r>
          </w:p>
        </w:tc>
        <w:tc>
          <w:tcPr>
            <w:tcW w:w="3375" w:type="dxa"/>
          </w:tcPr>
          <w:p w:rsidR="004215DC" w:rsidRPr="002B76B2" w:rsidRDefault="004215DC" w:rsidP="00845B16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76B2">
              <w:rPr>
                <w:rFonts w:ascii="Calibri" w:hAnsi="Calibri" w:cs="Calibri"/>
                <w:sz w:val="22"/>
                <w:szCs w:val="22"/>
              </w:rPr>
              <w:t>100%</w:t>
            </w:r>
          </w:p>
        </w:tc>
      </w:tr>
    </w:tbl>
    <w:p w:rsidR="004215DC" w:rsidRPr="002B76B2" w:rsidRDefault="004215DC" w:rsidP="007D7B02">
      <w:pPr>
        <w:ind w:left="360"/>
        <w:rPr>
          <w:rFonts w:ascii="Calibri" w:hAnsi="Calibri" w:cs="Calibri"/>
          <w:sz w:val="22"/>
          <w:szCs w:val="22"/>
        </w:rPr>
      </w:pPr>
    </w:p>
    <w:p w:rsidR="003A587D" w:rsidRPr="002B76B2" w:rsidRDefault="003A587D" w:rsidP="003A587D">
      <w:pPr>
        <w:rPr>
          <w:rFonts w:ascii="Calibri" w:hAnsi="Calibri" w:cs="Calibri"/>
          <w:sz w:val="22"/>
          <w:szCs w:val="22"/>
        </w:rPr>
      </w:pPr>
    </w:p>
    <w:p w:rsidR="009E2248" w:rsidRPr="002B76B2" w:rsidRDefault="00CB4A02" w:rsidP="009E2248">
      <w:pPr>
        <w:pStyle w:val="ListParagraph"/>
        <w:numPr>
          <w:ilvl w:val="0"/>
          <w:numId w:val="15"/>
        </w:numPr>
        <w:rPr>
          <w:rFonts w:ascii="Calibri" w:hAnsi="Calibri" w:cs="Calibri"/>
          <w:b/>
          <w:sz w:val="22"/>
          <w:szCs w:val="22"/>
        </w:rPr>
      </w:pPr>
      <w:r w:rsidRPr="002B76B2">
        <w:rPr>
          <w:rFonts w:ascii="Calibri" w:hAnsi="Calibri"/>
          <w:b/>
          <w:sz w:val="22"/>
          <w:lang w:val="pt-PT"/>
        </w:rPr>
        <w:t>Para Windows Intune:</w:t>
      </w:r>
    </w:p>
    <w:p w:rsidR="009E2248" w:rsidRPr="002B76B2" w:rsidRDefault="009E2248" w:rsidP="00574183">
      <w:pPr>
        <w:pStyle w:val="ListParagraph"/>
        <w:rPr>
          <w:rFonts w:ascii="Calibri" w:hAnsi="Calibri" w:cs="Calibri"/>
          <w:sz w:val="22"/>
          <w:szCs w:val="22"/>
        </w:rPr>
      </w:pPr>
    </w:p>
    <w:p w:rsidR="003A587D" w:rsidRPr="002B76B2" w:rsidRDefault="00CB4A02" w:rsidP="003A587D">
      <w:pPr>
        <w:ind w:left="360"/>
        <w:rPr>
          <w:rFonts w:ascii="Calibri" w:hAnsi="Calibri" w:cs="Calibri"/>
          <w:sz w:val="22"/>
          <w:szCs w:val="22"/>
          <w:lang w:val="pt-BR"/>
        </w:rPr>
      </w:pPr>
      <w:r w:rsidRPr="002B76B2">
        <w:rPr>
          <w:rFonts w:ascii="Calibri" w:hAnsi="Calibri"/>
          <w:sz w:val="22"/>
          <w:lang w:val="pt-PT"/>
        </w:rPr>
        <w:t>A Indisponibilidade Agendada não excederá 10 horas por ano de calendário.</w:t>
      </w:r>
      <w:r w:rsidR="000D77E2" w:rsidRPr="002B76B2">
        <w:rPr>
          <w:rFonts w:ascii="Calibri" w:hAnsi="Calibri" w:cs="Calibri"/>
          <w:sz w:val="22"/>
          <w:szCs w:val="22"/>
          <w:lang w:val="pt-BR"/>
        </w:rPr>
        <w:t xml:space="preserve"> </w:t>
      </w:r>
    </w:p>
    <w:sectPr w:rsidR="003A587D" w:rsidRPr="002B76B2" w:rsidSect="00E775E5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624" w:rsidRDefault="00706624" w:rsidP="003E73B2">
      <w:r>
        <w:separator/>
      </w:r>
    </w:p>
  </w:endnote>
  <w:endnote w:type="continuationSeparator" w:id="0">
    <w:p w:rsidR="00706624" w:rsidRDefault="00706624" w:rsidP="003E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702" w:rsidRPr="00322CB4" w:rsidRDefault="00017702" w:rsidP="00624C62">
    <w:pPr>
      <w:pStyle w:val="Footer"/>
      <w:tabs>
        <w:tab w:val="clear" w:pos="4680"/>
        <w:tab w:val="center" w:pos="5598"/>
      </w:tabs>
      <w:rPr>
        <w:rFonts w:ascii="Tahoma" w:hAnsi="Tahoma" w:cs="Tahoma"/>
        <w:b/>
        <w:i/>
        <w:sz w:val="16"/>
        <w:szCs w:val="16"/>
        <w:lang w:val="pt-BR"/>
      </w:rPr>
    </w:pPr>
    <w:r w:rsidRPr="00322CB4">
      <w:rPr>
        <w:rFonts w:ascii="Tahoma" w:hAnsi="Tahoma" w:cs="Tahoma"/>
        <w:b/>
        <w:i/>
        <w:sz w:val="16"/>
        <w:szCs w:val="16"/>
        <w:lang w:val="pt-BR"/>
      </w:rPr>
      <w:t>Consolidated SLA (</w:t>
    </w:r>
    <w:r w:rsidR="00D43623" w:rsidRPr="00322CB4">
      <w:rPr>
        <w:rFonts w:ascii="Tahoma" w:hAnsi="Tahoma" w:cs="Tahoma"/>
        <w:b/>
        <w:i/>
        <w:sz w:val="16"/>
        <w:szCs w:val="16"/>
        <w:lang w:val="pt-BR"/>
      </w:rPr>
      <w:t>Portuguese Portugal</w:t>
    </w:r>
    <w:r w:rsidRPr="00322CB4">
      <w:rPr>
        <w:rFonts w:ascii="Tahoma" w:hAnsi="Tahoma" w:cs="Tahoma"/>
        <w:b/>
        <w:i/>
        <w:sz w:val="16"/>
        <w:szCs w:val="16"/>
        <w:lang w:val="pt-BR"/>
      </w:rPr>
      <w:t>)</w:t>
    </w:r>
    <w:r w:rsidRPr="00322CB4">
      <w:rPr>
        <w:rFonts w:ascii="Tahoma" w:hAnsi="Tahoma" w:cs="Tahoma"/>
        <w:b/>
        <w:i/>
        <w:sz w:val="16"/>
        <w:szCs w:val="16"/>
        <w:lang w:val="pt-BR"/>
      </w:rPr>
      <w:tab/>
    </w:r>
    <w:r w:rsidR="00624C62" w:rsidRPr="00624C62">
      <w:rPr>
        <w:rFonts w:ascii="Tahoma" w:hAnsi="Tahoma" w:cs="Tahoma"/>
        <w:b/>
        <w:i/>
        <w:sz w:val="16"/>
        <w:szCs w:val="16"/>
        <w:lang w:val="pt-BR"/>
      </w:rPr>
      <w:t>October 2011</w:t>
    </w:r>
    <w:r w:rsidRPr="00322CB4">
      <w:rPr>
        <w:rFonts w:ascii="Tahoma" w:hAnsi="Tahoma" w:cs="Tahoma"/>
        <w:b/>
        <w:i/>
        <w:sz w:val="16"/>
        <w:szCs w:val="16"/>
        <w:lang w:val="pt-BR"/>
      </w:rPr>
      <w:tab/>
      <w:t xml:space="preserve">Page </w:t>
    </w:r>
    <w:r w:rsidR="0006672A" w:rsidRPr="00322CB4">
      <w:rPr>
        <w:rFonts w:ascii="Tahoma" w:hAnsi="Tahoma" w:cs="Tahoma"/>
        <w:b/>
        <w:i/>
        <w:sz w:val="16"/>
        <w:szCs w:val="16"/>
      </w:rPr>
      <w:fldChar w:fldCharType="begin"/>
    </w:r>
    <w:r w:rsidRPr="00322CB4">
      <w:rPr>
        <w:rFonts w:ascii="Tahoma" w:hAnsi="Tahoma" w:cs="Tahoma"/>
        <w:b/>
        <w:i/>
        <w:sz w:val="16"/>
        <w:szCs w:val="16"/>
        <w:lang w:val="pt-BR"/>
      </w:rPr>
      <w:instrText xml:space="preserve"> PAGE  \* Arabic  \* MERGEFORMAT </w:instrText>
    </w:r>
    <w:r w:rsidR="0006672A" w:rsidRPr="00322CB4">
      <w:rPr>
        <w:rFonts w:ascii="Tahoma" w:hAnsi="Tahoma" w:cs="Tahoma"/>
        <w:b/>
        <w:i/>
        <w:sz w:val="16"/>
        <w:szCs w:val="16"/>
      </w:rPr>
      <w:fldChar w:fldCharType="separate"/>
    </w:r>
    <w:r w:rsidR="003816B6">
      <w:rPr>
        <w:rFonts w:ascii="Tahoma" w:hAnsi="Tahoma" w:cs="Tahoma"/>
        <w:b/>
        <w:i/>
        <w:noProof/>
        <w:sz w:val="16"/>
        <w:szCs w:val="16"/>
        <w:lang w:val="pt-BR"/>
      </w:rPr>
      <w:t>1</w:t>
    </w:r>
    <w:r w:rsidR="0006672A" w:rsidRPr="00322CB4">
      <w:rPr>
        <w:rFonts w:ascii="Tahoma" w:hAnsi="Tahoma" w:cs="Tahoma"/>
        <w:b/>
        <w:i/>
        <w:sz w:val="16"/>
        <w:szCs w:val="16"/>
      </w:rPr>
      <w:fldChar w:fldCharType="end"/>
    </w:r>
    <w:r w:rsidRPr="00322CB4">
      <w:rPr>
        <w:rFonts w:ascii="Tahoma" w:hAnsi="Tahoma" w:cs="Tahoma"/>
        <w:b/>
        <w:i/>
        <w:sz w:val="16"/>
        <w:szCs w:val="16"/>
        <w:lang w:val="pt-BR"/>
      </w:rPr>
      <w:t xml:space="preserve"> of </w:t>
    </w:r>
    <w:r w:rsidR="00706624">
      <w:fldChar w:fldCharType="begin"/>
    </w:r>
    <w:r w:rsidR="00706624">
      <w:instrText xml:space="preserve"> NUMPAGES  \* Arabic  \* MERGEFORMAT </w:instrText>
    </w:r>
    <w:r w:rsidR="00706624">
      <w:fldChar w:fldCharType="separate"/>
    </w:r>
    <w:r w:rsidR="003816B6" w:rsidRPr="003816B6">
      <w:rPr>
        <w:rFonts w:ascii="Tahoma" w:hAnsi="Tahoma" w:cs="Tahoma"/>
        <w:b/>
        <w:i/>
        <w:noProof/>
        <w:sz w:val="16"/>
        <w:szCs w:val="16"/>
        <w:lang w:val="pt-BR"/>
      </w:rPr>
      <w:t>7</w:t>
    </w:r>
    <w:r w:rsidR="00706624">
      <w:rPr>
        <w:rFonts w:ascii="Tahoma" w:hAnsi="Tahoma" w:cs="Tahoma"/>
        <w:b/>
        <w:i/>
        <w:noProof/>
        <w:sz w:val="16"/>
        <w:szCs w:val="16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624" w:rsidRDefault="00706624" w:rsidP="003E73B2">
      <w:r>
        <w:separator/>
      </w:r>
    </w:p>
  </w:footnote>
  <w:footnote w:type="continuationSeparator" w:id="0">
    <w:p w:rsidR="00706624" w:rsidRDefault="00706624" w:rsidP="003E7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45AB"/>
    <w:multiLevelType w:val="hybridMultilevel"/>
    <w:tmpl w:val="301E6130"/>
    <w:lvl w:ilvl="0" w:tplc="F3409C76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8A2246"/>
    <w:multiLevelType w:val="hybridMultilevel"/>
    <w:tmpl w:val="2E68CBEA"/>
    <w:lvl w:ilvl="0" w:tplc="EB76C98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4F4A8E"/>
    <w:multiLevelType w:val="multilevel"/>
    <w:tmpl w:val="CA12A364"/>
    <w:lvl w:ilvl="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5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95" w:hanging="180"/>
      </w:pPr>
      <w:rPr>
        <w:rFonts w:cs="Times New Roman"/>
      </w:rPr>
    </w:lvl>
  </w:abstractNum>
  <w:abstractNum w:abstractNumId="3">
    <w:nsid w:val="1F665391"/>
    <w:multiLevelType w:val="hybridMultilevel"/>
    <w:tmpl w:val="C8224A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D0B798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2" w:tplc="04090019">
      <w:start w:val="1"/>
      <w:numFmt w:val="lowerLetter"/>
      <w:lvlText w:val="%3."/>
      <w:lvlJc w:val="left"/>
      <w:pPr>
        <w:ind w:left="1260" w:hanging="180"/>
      </w:pPr>
      <w:rPr>
        <w:rFonts w:cs="Times New Roman"/>
      </w:rPr>
    </w:lvl>
    <w:lvl w:ilvl="3" w:tplc="04090019">
      <w:start w:val="1"/>
      <w:numFmt w:val="lowerLetter"/>
      <w:lvlText w:val="%4."/>
      <w:lvlJc w:val="left"/>
      <w:pPr>
        <w:ind w:left="1260" w:hanging="360"/>
      </w:pPr>
      <w:rPr>
        <w:rFonts w:cs="Times New Roman"/>
      </w:rPr>
    </w:lvl>
    <w:lvl w:ilvl="4" w:tplc="0409000F">
      <w:start w:val="1"/>
      <w:numFmt w:val="decimal"/>
      <w:lvlText w:val="%5."/>
      <w:lvlJc w:val="left"/>
      <w:pPr>
        <w:ind w:left="17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7C71E1"/>
    <w:multiLevelType w:val="hybridMultilevel"/>
    <w:tmpl w:val="C8224A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D0B798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2" w:tplc="04090019">
      <w:start w:val="1"/>
      <w:numFmt w:val="lowerLetter"/>
      <w:lvlText w:val="%3."/>
      <w:lvlJc w:val="left"/>
      <w:pPr>
        <w:ind w:left="1260" w:hanging="180"/>
      </w:pPr>
      <w:rPr>
        <w:rFonts w:cs="Times New Roman"/>
      </w:rPr>
    </w:lvl>
    <w:lvl w:ilvl="3" w:tplc="04090019">
      <w:start w:val="1"/>
      <w:numFmt w:val="lowerLetter"/>
      <w:lvlText w:val="%4."/>
      <w:lvlJc w:val="left"/>
      <w:pPr>
        <w:ind w:left="1260" w:hanging="360"/>
      </w:pPr>
      <w:rPr>
        <w:rFonts w:cs="Times New Roman"/>
      </w:rPr>
    </w:lvl>
    <w:lvl w:ilvl="4" w:tplc="0409000F">
      <w:start w:val="1"/>
      <w:numFmt w:val="decimal"/>
      <w:lvlText w:val="%5."/>
      <w:lvlJc w:val="left"/>
      <w:pPr>
        <w:ind w:left="17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441AE9"/>
    <w:multiLevelType w:val="hybridMultilevel"/>
    <w:tmpl w:val="D4F6923E"/>
    <w:lvl w:ilvl="0" w:tplc="6D74874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A47290"/>
    <w:multiLevelType w:val="hybridMultilevel"/>
    <w:tmpl w:val="A03A4388"/>
    <w:lvl w:ilvl="0" w:tplc="F41C8FA6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334564C"/>
    <w:multiLevelType w:val="hybridMultilevel"/>
    <w:tmpl w:val="A2AE8B2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4D0B798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2" w:tplc="04090019">
      <w:start w:val="1"/>
      <w:numFmt w:val="lowerLetter"/>
      <w:lvlText w:val="%3."/>
      <w:lvlJc w:val="left"/>
      <w:pPr>
        <w:ind w:left="1620" w:hanging="180"/>
      </w:pPr>
      <w:rPr>
        <w:rFonts w:cs="Times New Roman"/>
      </w:rPr>
    </w:lvl>
    <w:lvl w:ilvl="3" w:tplc="04090019">
      <w:start w:val="1"/>
      <w:numFmt w:val="lowerLetter"/>
      <w:lvlText w:val="%4."/>
      <w:lvlJc w:val="left"/>
      <w:pPr>
        <w:ind w:left="1620" w:hanging="360"/>
      </w:pPr>
      <w:rPr>
        <w:rFonts w:cs="Times New Roman"/>
      </w:rPr>
    </w:lvl>
    <w:lvl w:ilvl="4" w:tplc="0409000F">
      <w:start w:val="1"/>
      <w:numFmt w:val="decimal"/>
      <w:lvlText w:val="%5."/>
      <w:lvlJc w:val="left"/>
      <w:pPr>
        <w:ind w:left="20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3EA0F6E"/>
    <w:multiLevelType w:val="multilevel"/>
    <w:tmpl w:val="EB9C6454"/>
    <w:lvl w:ilvl="0">
      <w:start w:val="1"/>
      <w:numFmt w:val="decimal"/>
      <w:lvlText w:val="%1."/>
      <w:lvlJc w:val="left"/>
      <w:pPr>
        <w:ind w:left="83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95" w:hanging="180"/>
      </w:pPr>
      <w:rPr>
        <w:rFonts w:cs="Times New Roman"/>
      </w:rPr>
    </w:lvl>
  </w:abstractNum>
  <w:abstractNum w:abstractNumId="9">
    <w:nsid w:val="5455770D"/>
    <w:multiLevelType w:val="multilevel"/>
    <w:tmpl w:val="EB9C6454"/>
    <w:lvl w:ilvl="0">
      <w:start w:val="1"/>
      <w:numFmt w:val="decimal"/>
      <w:lvlText w:val="%1."/>
      <w:lvlJc w:val="left"/>
      <w:pPr>
        <w:ind w:left="83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95" w:hanging="180"/>
      </w:pPr>
      <w:rPr>
        <w:rFonts w:cs="Times New Roman"/>
      </w:rPr>
    </w:lvl>
  </w:abstractNum>
  <w:abstractNum w:abstractNumId="10">
    <w:nsid w:val="5AC7542D"/>
    <w:multiLevelType w:val="hybridMultilevel"/>
    <w:tmpl w:val="C8224A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D0B798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2" w:tplc="04090019">
      <w:start w:val="1"/>
      <w:numFmt w:val="lowerLetter"/>
      <w:lvlText w:val="%3."/>
      <w:lvlJc w:val="left"/>
      <w:pPr>
        <w:ind w:left="1260" w:hanging="180"/>
      </w:pPr>
      <w:rPr>
        <w:rFonts w:cs="Times New Roman"/>
      </w:rPr>
    </w:lvl>
    <w:lvl w:ilvl="3" w:tplc="04090019">
      <w:start w:val="1"/>
      <w:numFmt w:val="lowerLetter"/>
      <w:lvlText w:val="%4."/>
      <w:lvlJc w:val="left"/>
      <w:pPr>
        <w:ind w:left="1260" w:hanging="360"/>
      </w:pPr>
      <w:rPr>
        <w:rFonts w:cs="Times New Roman"/>
      </w:rPr>
    </w:lvl>
    <w:lvl w:ilvl="4" w:tplc="0409000F">
      <w:start w:val="1"/>
      <w:numFmt w:val="decimal"/>
      <w:lvlText w:val="%5."/>
      <w:lvlJc w:val="left"/>
      <w:pPr>
        <w:ind w:left="17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4AE4182"/>
    <w:multiLevelType w:val="hybridMultilevel"/>
    <w:tmpl w:val="C4A22E4E"/>
    <w:lvl w:ilvl="0" w:tplc="3306C98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9BE76B5"/>
    <w:multiLevelType w:val="multilevel"/>
    <w:tmpl w:val="EB9C6454"/>
    <w:lvl w:ilvl="0">
      <w:start w:val="1"/>
      <w:numFmt w:val="decimal"/>
      <w:lvlText w:val="%1."/>
      <w:lvlJc w:val="left"/>
      <w:pPr>
        <w:ind w:left="83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95" w:hanging="180"/>
      </w:pPr>
      <w:rPr>
        <w:rFonts w:cs="Times New Roman"/>
      </w:rPr>
    </w:lvl>
  </w:abstractNum>
  <w:abstractNum w:abstractNumId="13">
    <w:nsid w:val="74A247EC"/>
    <w:multiLevelType w:val="multilevel"/>
    <w:tmpl w:val="EB9C6454"/>
    <w:lvl w:ilvl="0">
      <w:start w:val="1"/>
      <w:numFmt w:val="decimal"/>
      <w:lvlText w:val="%1."/>
      <w:lvlJc w:val="left"/>
      <w:pPr>
        <w:ind w:left="83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95" w:hanging="180"/>
      </w:pPr>
      <w:rPr>
        <w:rFonts w:cs="Times New Roman"/>
      </w:rPr>
    </w:lvl>
  </w:abstractNum>
  <w:abstractNum w:abstractNumId="14">
    <w:nsid w:val="7C8A0F20"/>
    <w:multiLevelType w:val="multilevel"/>
    <w:tmpl w:val="D96A71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350" w:hanging="18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14"/>
  </w:num>
  <w:num w:numId="8">
    <w:abstractNumId w:val="12"/>
  </w:num>
  <w:num w:numId="9">
    <w:abstractNumId w:val="2"/>
  </w:num>
  <w:num w:numId="10">
    <w:abstractNumId w:val="11"/>
  </w:num>
  <w:num w:numId="11">
    <w:abstractNumId w:val="5"/>
  </w:num>
  <w:num w:numId="12">
    <w:abstractNumId w:val="10"/>
  </w:num>
  <w:num w:numId="13">
    <w:abstractNumId w:val="7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ocumentProtection w:edit="forms" w:enforcement="1" w:cryptProviderType="rsaFull" w:cryptAlgorithmClass="hash" w:cryptAlgorithmType="typeAny" w:cryptAlgorithmSid="4" w:cryptSpinCount="100000" w:hash="LL5lJhXMwaz4rjNzXi2EBdpsxTs=" w:salt="1gD1Y8w611y3krc/fVkT8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41CA"/>
    <w:rsid w:val="0000177F"/>
    <w:rsid w:val="00013680"/>
    <w:rsid w:val="0001609D"/>
    <w:rsid w:val="00017702"/>
    <w:rsid w:val="0003076E"/>
    <w:rsid w:val="0003355F"/>
    <w:rsid w:val="000428FB"/>
    <w:rsid w:val="000452AB"/>
    <w:rsid w:val="00045AA1"/>
    <w:rsid w:val="00045AA4"/>
    <w:rsid w:val="00047D92"/>
    <w:rsid w:val="000534F2"/>
    <w:rsid w:val="00053FDA"/>
    <w:rsid w:val="00055B69"/>
    <w:rsid w:val="00055F70"/>
    <w:rsid w:val="00065153"/>
    <w:rsid w:val="0006672A"/>
    <w:rsid w:val="0007065F"/>
    <w:rsid w:val="00074734"/>
    <w:rsid w:val="00074D7D"/>
    <w:rsid w:val="0007708B"/>
    <w:rsid w:val="000875CC"/>
    <w:rsid w:val="00094781"/>
    <w:rsid w:val="00096493"/>
    <w:rsid w:val="000A49E7"/>
    <w:rsid w:val="000B1ED7"/>
    <w:rsid w:val="000B32C1"/>
    <w:rsid w:val="000D4DFD"/>
    <w:rsid w:val="000D75AB"/>
    <w:rsid w:val="000D77E2"/>
    <w:rsid w:val="00103F4D"/>
    <w:rsid w:val="00111EDB"/>
    <w:rsid w:val="00113BD7"/>
    <w:rsid w:val="00133306"/>
    <w:rsid w:val="00151886"/>
    <w:rsid w:val="00156D8F"/>
    <w:rsid w:val="001633AA"/>
    <w:rsid w:val="0017599D"/>
    <w:rsid w:val="001769E0"/>
    <w:rsid w:val="0018061E"/>
    <w:rsid w:val="001A21F4"/>
    <w:rsid w:val="001B0D4B"/>
    <w:rsid w:val="001B41A2"/>
    <w:rsid w:val="001B67F2"/>
    <w:rsid w:val="001C6B03"/>
    <w:rsid w:val="001D6164"/>
    <w:rsid w:val="001D61E0"/>
    <w:rsid w:val="001E294A"/>
    <w:rsid w:val="001F01F4"/>
    <w:rsid w:val="001F5A66"/>
    <w:rsid w:val="002064AB"/>
    <w:rsid w:val="00207DEF"/>
    <w:rsid w:val="00223BEB"/>
    <w:rsid w:val="00244FCB"/>
    <w:rsid w:val="0024539F"/>
    <w:rsid w:val="002460AC"/>
    <w:rsid w:val="00250A2D"/>
    <w:rsid w:val="002518FB"/>
    <w:rsid w:val="00257193"/>
    <w:rsid w:val="00285FD9"/>
    <w:rsid w:val="00287107"/>
    <w:rsid w:val="00296A78"/>
    <w:rsid w:val="002B0235"/>
    <w:rsid w:val="002B0EAD"/>
    <w:rsid w:val="002B6B27"/>
    <w:rsid w:val="002B76B2"/>
    <w:rsid w:val="002C03BF"/>
    <w:rsid w:val="002C6FF6"/>
    <w:rsid w:val="002C7F4D"/>
    <w:rsid w:val="002D0078"/>
    <w:rsid w:val="002D0868"/>
    <w:rsid w:val="002D51F5"/>
    <w:rsid w:val="002E7163"/>
    <w:rsid w:val="002F13F6"/>
    <w:rsid w:val="002F37EC"/>
    <w:rsid w:val="00304BA3"/>
    <w:rsid w:val="003058C6"/>
    <w:rsid w:val="00306DE8"/>
    <w:rsid w:val="0031153A"/>
    <w:rsid w:val="00312D88"/>
    <w:rsid w:val="00314E38"/>
    <w:rsid w:val="00322817"/>
    <w:rsid w:val="00322CB4"/>
    <w:rsid w:val="00322F01"/>
    <w:rsid w:val="00327DE0"/>
    <w:rsid w:val="0034328D"/>
    <w:rsid w:val="00351C23"/>
    <w:rsid w:val="003676A4"/>
    <w:rsid w:val="003816B6"/>
    <w:rsid w:val="0038269D"/>
    <w:rsid w:val="0038546B"/>
    <w:rsid w:val="0038600D"/>
    <w:rsid w:val="00386EDC"/>
    <w:rsid w:val="0039080B"/>
    <w:rsid w:val="00391596"/>
    <w:rsid w:val="00391F2A"/>
    <w:rsid w:val="003934EA"/>
    <w:rsid w:val="00397379"/>
    <w:rsid w:val="003979EB"/>
    <w:rsid w:val="003A27F6"/>
    <w:rsid w:val="003A587D"/>
    <w:rsid w:val="003C16ED"/>
    <w:rsid w:val="003D00A5"/>
    <w:rsid w:val="003D145A"/>
    <w:rsid w:val="003D2F39"/>
    <w:rsid w:val="003D5259"/>
    <w:rsid w:val="003E19D2"/>
    <w:rsid w:val="003E73B2"/>
    <w:rsid w:val="003E781B"/>
    <w:rsid w:val="003F31C3"/>
    <w:rsid w:val="003F4055"/>
    <w:rsid w:val="003F621F"/>
    <w:rsid w:val="003F6F7D"/>
    <w:rsid w:val="00411160"/>
    <w:rsid w:val="00411DA7"/>
    <w:rsid w:val="004215DC"/>
    <w:rsid w:val="00425C4F"/>
    <w:rsid w:val="00431708"/>
    <w:rsid w:val="004350CD"/>
    <w:rsid w:val="004528E7"/>
    <w:rsid w:val="00452FB6"/>
    <w:rsid w:val="0045345E"/>
    <w:rsid w:val="004563DF"/>
    <w:rsid w:val="00457DF0"/>
    <w:rsid w:val="00467F08"/>
    <w:rsid w:val="004703C4"/>
    <w:rsid w:val="004707A7"/>
    <w:rsid w:val="004A0AB3"/>
    <w:rsid w:val="004A42DE"/>
    <w:rsid w:val="004B4FB1"/>
    <w:rsid w:val="004B663B"/>
    <w:rsid w:val="004B671E"/>
    <w:rsid w:val="004C765F"/>
    <w:rsid w:val="004D78E4"/>
    <w:rsid w:val="004E506C"/>
    <w:rsid w:val="004E5077"/>
    <w:rsid w:val="004E60B8"/>
    <w:rsid w:val="004F1563"/>
    <w:rsid w:val="004F664B"/>
    <w:rsid w:val="00500D9D"/>
    <w:rsid w:val="00504297"/>
    <w:rsid w:val="00505248"/>
    <w:rsid w:val="00506600"/>
    <w:rsid w:val="00510A4A"/>
    <w:rsid w:val="0051219B"/>
    <w:rsid w:val="0051540D"/>
    <w:rsid w:val="00520ED8"/>
    <w:rsid w:val="0052791F"/>
    <w:rsid w:val="0053605C"/>
    <w:rsid w:val="00537B19"/>
    <w:rsid w:val="00550E06"/>
    <w:rsid w:val="00561F89"/>
    <w:rsid w:val="0056554B"/>
    <w:rsid w:val="0056727B"/>
    <w:rsid w:val="00574183"/>
    <w:rsid w:val="005771EB"/>
    <w:rsid w:val="005876FB"/>
    <w:rsid w:val="0059679E"/>
    <w:rsid w:val="005C6D2F"/>
    <w:rsid w:val="005D53A3"/>
    <w:rsid w:val="005D5E90"/>
    <w:rsid w:val="005E0AD7"/>
    <w:rsid w:val="005F06C8"/>
    <w:rsid w:val="005F07F6"/>
    <w:rsid w:val="00601824"/>
    <w:rsid w:val="00602D47"/>
    <w:rsid w:val="00604742"/>
    <w:rsid w:val="0061015A"/>
    <w:rsid w:val="006131F0"/>
    <w:rsid w:val="00617013"/>
    <w:rsid w:val="00624283"/>
    <w:rsid w:val="00624C62"/>
    <w:rsid w:val="00626676"/>
    <w:rsid w:val="00627D84"/>
    <w:rsid w:val="00637C9E"/>
    <w:rsid w:val="00652628"/>
    <w:rsid w:val="00654835"/>
    <w:rsid w:val="00662532"/>
    <w:rsid w:val="006723E1"/>
    <w:rsid w:val="0067248A"/>
    <w:rsid w:val="00673F84"/>
    <w:rsid w:val="00683036"/>
    <w:rsid w:val="006867DA"/>
    <w:rsid w:val="00691280"/>
    <w:rsid w:val="00693DFC"/>
    <w:rsid w:val="00693EA9"/>
    <w:rsid w:val="00696C9B"/>
    <w:rsid w:val="006B3E37"/>
    <w:rsid w:val="006D0D08"/>
    <w:rsid w:val="006D1BBE"/>
    <w:rsid w:val="006D6D58"/>
    <w:rsid w:val="006E1E1A"/>
    <w:rsid w:val="006E5B24"/>
    <w:rsid w:val="006F782E"/>
    <w:rsid w:val="00705266"/>
    <w:rsid w:val="00706624"/>
    <w:rsid w:val="0072097B"/>
    <w:rsid w:val="00721692"/>
    <w:rsid w:val="0073272B"/>
    <w:rsid w:val="0074151E"/>
    <w:rsid w:val="00743B36"/>
    <w:rsid w:val="00751B19"/>
    <w:rsid w:val="007538C3"/>
    <w:rsid w:val="0075511C"/>
    <w:rsid w:val="00756DEA"/>
    <w:rsid w:val="007731BC"/>
    <w:rsid w:val="007761D3"/>
    <w:rsid w:val="00780084"/>
    <w:rsid w:val="0078054C"/>
    <w:rsid w:val="00781A62"/>
    <w:rsid w:val="00783837"/>
    <w:rsid w:val="007844D6"/>
    <w:rsid w:val="007851F7"/>
    <w:rsid w:val="00790EB0"/>
    <w:rsid w:val="007952EB"/>
    <w:rsid w:val="007A21AE"/>
    <w:rsid w:val="007A5AFB"/>
    <w:rsid w:val="007B3D0B"/>
    <w:rsid w:val="007B51FF"/>
    <w:rsid w:val="007B7D6A"/>
    <w:rsid w:val="007C5C6B"/>
    <w:rsid w:val="007D1061"/>
    <w:rsid w:val="007D7B02"/>
    <w:rsid w:val="007D7E3F"/>
    <w:rsid w:val="007E50BB"/>
    <w:rsid w:val="007E61C4"/>
    <w:rsid w:val="007E7394"/>
    <w:rsid w:val="007F4B3F"/>
    <w:rsid w:val="007F610E"/>
    <w:rsid w:val="007F64F0"/>
    <w:rsid w:val="007F72D3"/>
    <w:rsid w:val="0080209B"/>
    <w:rsid w:val="008063E7"/>
    <w:rsid w:val="00812FD6"/>
    <w:rsid w:val="00820BF2"/>
    <w:rsid w:val="00821EED"/>
    <w:rsid w:val="00822548"/>
    <w:rsid w:val="0083019F"/>
    <w:rsid w:val="008313BC"/>
    <w:rsid w:val="00836541"/>
    <w:rsid w:val="00841012"/>
    <w:rsid w:val="00845B16"/>
    <w:rsid w:val="0084738D"/>
    <w:rsid w:val="00860FB2"/>
    <w:rsid w:val="00862707"/>
    <w:rsid w:val="008647CC"/>
    <w:rsid w:val="0086627D"/>
    <w:rsid w:val="00890567"/>
    <w:rsid w:val="00892DB7"/>
    <w:rsid w:val="008B02C9"/>
    <w:rsid w:val="008B1AF7"/>
    <w:rsid w:val="008B4459"/>
    <w:rsid w:val="008B6DB5"/>
    <w:rsid w:val="008C6CF6"/>
    <w:rsid w:val="008C74FC"/>
    <w:rsid w:val="008D2606"/>
    <w:rsid w:val="008D6C4F"/>
    <w:rsid w:val="008E5B04"/>
    <w:rsid w:val="00914599"/>
    <w:rsid w:val="0091593F"/>
    <w:rsid w:val="00920820"/>
    <w:rsid w:val="00922B1F"/>
    <w:rsid w:val="00925391"/>
    <w:rsid w:val="009259A7"/>
    <w:rsid w:val="00932525"/>
    <w:rsid w:val="009349FD"/>
    <w:rsid w:val="00934ECE"/>
    <w:rsid w:val="0094618B"/>
    <w:rsid w:val="00961B66"/>
    <w:rsid w:val="00964374"/>
    <w:rsid w:val="0096534D"/>
    <w:rsid w:val="00980911"/>
    <w:rsid w:val="0098245E"/>
    <w:rsid w:val="00990B90"/>
    <w:rsid w:val="00994D0B"/>
    <w:rsid w:val="009A0A4E"/>
    <w:rsid w:val="009A174E"/>
    <w:rsid w:val="009A33A3"/>
    <w:rsid w:val="009A48EE"/>
    <w:rsid w:val="009A5631"/>
    <w:rsid w:val="009B26BE"/>
    <w:rsid w:val="009C22D9"/>
    <w:rsid w:val="009C41F9"/>
    <w:rsid w:val="009D311D"/>
    <w:rsid w:val="009D374A"/>
    <w:rsid w:val="009E2248"/>
    <w:rsid w:val="009E43EC"/>
    <w:rsid w:val="009F557B"/>
    <w:rsid w:val="00A02C21"/>
    <w:rsid w:val="00A039F0"/>
    <w:rsid w:val="00A047D1"/>
    <w:rsid w:val="00A054F3"/>
    <w:rsid w:val="00A062E9"/>
    <w:rsid w:val="00A131B9"/>
    <w:rsid w:val="00A22989"/>
    <w:rsid w:val="00A23920"/>
    <w:rsid w:val="00A30EE4"/>
    <w:rsid w:val="00A33485"/>
    <w:rsid w:val="00A358B7"/>
    <w:rsid w:val="00A46BB4"/>
    <w:rsid w:val="00A52610"/>
    <w:rsid w:val="00A551E9"/>
    <w:rsid w:val="00A560CF"/>
    <w:rsid w:val="00A77112"/>
    <w:rsid w:val="00A81725"/>
    <w:rsid w:val="00A86922"/>
    <w:rsid w:val="00A90B88"/>
    <w:rsid w:val="00A91B06"/>
    <w:rsid w:val="00A92820"/>
    <w:rsid w:val="00AA06BB"/>
    <w:rsid w:val="00AB1C09"/>
    <w:rsid w:val="00AB6C19"/>
    <w:rsid w:val="00AC30CA"/>
    <w:rsid w:val="00AC556B"/>
    <w:rsid w:val="00AC592F"/>
    <w:rsid w:val="00AC5F5F"/>
    <w:rsid w:val="00AF217F"/>
    <w:rsid w:val="00B0672D"/>
    <w:rsid w:val="00B101EE"/>
    <w:rsid w:val="00B103A8"/>
    <w:rsid w:val="00B13EF3"/>
    <w:rsid w:val="00B236D8"/>
    <w:rsid w:val="00B23CDE"/>
    <w:rsid w:val="00B254D7"/>
    <w:rsid w:val="00B2676F"/>
    <w:rsid w:val="00B27E89"/>
    <w:rsid w:val="00B53784"/>
    <w:rsid w:val="00B56688"/>
    <w:rsid w:val="00B56A76"/>
    <w:rsid w:val="00B60D4C"/>
    <w:rsid w:val="00B6194D"/>
    <w:rsid w:val="00B62709"/>
    <w:rsid w:val="00B65AF0"/>
    <w:rsid w:val="00B73422"/>
    <w:rsid w:val="00B7362F"/>
    <w:rsid w:val="00B84EE1"/>
    <w:rsid w:val="00B87F53"/>
    <w:rsid w:val="00B93563"/>
    <w:rsid w:val="00BA5265"/>
    <w:rsid w:val="00BC2783"/>
    <w:rsid w:val="00BC6AA1"/>
    <w:rsid w:val="00BD084F"/>
    <w:rsid w:val="00BD592D"/>
    <w:rsid w:val="00BE2414"/>
    <w:rsid w:val="00C10545"/>
    <w:rsid w:val="00C12E59"/>
    <w:rsid w:val="00C171C7"/>
    <w:rsid w:val="00C17827"/>
    <w:rsid w:val="00C218B7"/>
    <w:rsid w:val="00C24254"/>
    <w:rsid w:val="00C2459D"/>
    <w:rsid w:val="00C301F0"/>
    <w:rsid w:val="00C34031"/>
    <w:rsid w:val="00C4670E"/>
    <w:rsid w:val="00C530B1"/>
    <w:rsid w:val="00C53C6A"/>
    <w:rsid w:val="00C56C7D"/>
    <w:rsid w:val="00C57503"/>
    <w:rsid w:val="00C6348C"/>
    <w:rsid w:val="00C6369E"/>
    <w:rsid w:val="00C84A3F"/>
    <w:rsid w:val="00C85810"/>
    <w:rsid w:val="00C85BB8"/>
    <w:rsid w:val="00C8668E"/>
    <w:rsid w:val="00C86C7C"/>
    <w:rsid w:val="00C87F16"/>
    <w:rsid w:val="00C918F6"/>
    <w:rsid w:val="00C92723"/>
    <w:rsid w:val="00CB2D28"/>
    <w:rsid w:val="00CB4A02"/>
    <w:rsid w:val="00CC293F"/>
    <w:rsid w:val="00CC6343"/>
    <w:rsid w:val="00CD2FBD"/>
    <w:rsid w:val="00CE07F4"/>
    <w:rsid w:val="00CE31C1"/>
    <w:rsid w:val="00CE323C"/>
    <w:rsid w:val="00CE3D9C"/>
    <w:rsid w:val="00D0010E"/>
    <w:rsid w:val="00D02F57"/>
    <w:rsid w:val="00D035DB"/>
    <w:rsid w:val="00D150E3"/>
    <w:rsid w:val="00D16D90"/>
    <w:rsid w:val="00D27957"/>
    <w:rsid w:val="00D32E60"/>
    <w:rsid w:val="00D352D1"/>
    <w:rsid w:val="00D379C2"/>
    <w:rsid w:val="00D41AB5"/>
    <w:rsid w:val="00D43623"/>
    <w:rsid w:val="00D465EA"/>
    <w:rsid w:val="00D47DFE"/>
    <w:rsid w:val="00D51582"/>
    <w:rsid w:val="00D53038"/>
    <w:rsid w:val="00D55BDE"/>
    <w:rsid w:val="00D601C5"/>
    <w:rsid w:val="00D63A7B"/>
    <w:rsid w:val="00D66E4D"/>
    <w:rsid w:val="00D751BC"/>
    <w:rsid w:val="00D77031"/>
    <w:rsid w:val="00D85BEB"/>
    <w:rsid w:val="00DA62DA"/>
    <w:rsid w:val="00DB48E0"/>
    <w:rsid w:val="00DC095F"/>
    <w:rsid w:val="00DD0B83"/>
    <w:rsid w:val="00DD208F"/>
    <w:rsid w:val="00DD3792"/>
    <w:rsid w:val="00DD5440"/>
    <w:rsid w:val="00DE4A0E"/>
    <w:rsid w:val="00DE5AA6"/>
    <w:rsid w:val="00DF7800"/>
    <w:rsid w:val="00E056A6"/>
    <w:rsid w:val="00E05B0A"/>
    <w:rsid w:val="00E079B5"/>
    <w:rsid w:val="00E1176A"/>
    <w:rsid w:val="00E11B6A"/>
    <w:rsid w:val="00E13FC0"/>
    <w:rsid w:val="00E20CED"/>
    <w:rsid w:val="00E24A4A"/>
    <w:rsid w:val="00E2570F"/>
    <w:rsid w:val="00E26AA9"/>
    <w:rsid w:val="00E3341F"/>
    <w:rsid w:val="00E3344D"/>
    <w:rsid w:val="00E43205"/>
    <w:rsid w:val="00E50ED4"/>
    <w:rsid w:val="00E6188E"/>
    <w:rsid w:val="00E66A0C"/>
    <w:rsid w:val="00E66D4D"/>
    <w:rsid w:val="00E70284"/>
    <w:rsid w:val="00E70C6C"/>
    <w:rsid w:val="00E775E5"/>
    <w:rsid w:val="00E77D3B"/>
    <w:rsid w:val="00E974E2"/>
    <w:rsid w:val="00EA29C2"/>
    <w:rsid w:val="00EB41CA"/>
    <w:rsid w:val="00EB5E0A"/>
    <w:rsid w:val="00EB73CF"/>
    <w:rsid w:val="00EB7A83"/>
    <w:rsid w:val="00EC192E"/>
    <w:rsid w:val="00EC51CC"/>
    <w:rsid w:val="00ED331E"/>
    <w:rsid w:val="00ED3D5F"/>
    <w:rsid w:val="00EF0F62"/>
    <w:rsid w:val="00EF3EC9"/>
    <w:rsid w:val="00F038FB"/>
    <w:rsid w:val="00F11736"/>
    <w:rsid w:val="00F158EA"/>
    <w:rsid w:val="00F24CA5"/>
    <w:rsid w:val="00F26D26"/>
    <w:rsid w:val="00F3744F"/>
    <w:rsid w:val="00F42FDA"/>
    <w:rsid w:val="00F464C5"/>
    <w:rsid w:val="00F528E9"/>
    <w:rsid w:val="00F52A72"/>
    <w:rsid w:val="00F56884"/>
    <w:rsid w:val="00F6060C"/>
    <w:rsid w:val="00F6290E"/>
    <w:rsid w:val="00F63A54"/>
    <w:rsid w:val="00F71A28"/>
    <w:rsid w:val="00F72CB4"/>
    <w:rsid w:val="00F74EEE"/>
    <w:rsid w:val="00F75786"/>
    <w:rsid w:val="00F82DF4"/>
    <w:rsid w:val="00F845CA"/>
    <w:rsid w:val="00FA0760"/>
    <w:rsid w:val="00FA2C0D"/>
    <w:rsid w:val="00FA3BDE"/>
    <w:rsid w:val="00FB28C6"/>
    <w:rsid w:val="00FB7971"/>
    <w:rsid w:val="00FC0AEA"/>
    <w:rsid w:val="00FC1D91"/>
    <w:rsid w:val="00FD1476"/>
    <w:rsid w:val="00FE0CFD"/>
    <w:rsid w:val="00FE2A94"/>
    <w:rsid w:val="00FF1259"/>
    <w:rsid w:val="00FF2F36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89"/>
    <o:shapelayout v:ext="edit">
      <o:idmap v:ext="edit" data="1"/>
      <o:rules v:ext="edit">
        <o:r id="V:Rule1" type="connector" idref="#_x0000_s1085"/>
        <o:r id="V:Rule2" type="connector" idref="#_x0000_s107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41CA"/>
    <w:pPr>
      <w:suppressAutoHyphens/>
      <w:autoSpaceDN w:val="0"/>
      <w:textAlignment w:val="baseline"/>
    </w:pPr>
    <w:rPr>
      <w:rFonts w:ascii="Trebuchet MS" w:eastAsia="MS Mincho" w:hAnsi="Trebuchet MS"/>
      <w:szCs w:val="24"/>
    </w:rPr>
  </w:style>
  <w:style w:type="paragraph" w:styleId="Heading1">
    <w:name w:val="heading 1"/>
    <w:basedOn w:val="Normal"/>
    <w:link w:val="Heading1Char"/>
    <w:qFormat/>
    <w:rsid w:val="00EB41CA"/>
    <w:pPr>
      <w:outlineLvl w:val="0"/>
    </w:pPr>
    <w:rPr>
      <w:b/>
      <w:color w:val="FFFFFF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EB41CA"/>
    <w:pPr>
      <w:outlineLvl w:val="1"/>
    </w:pPr>
    <w:rPr>
      <w:b/>
      <w:color w:val="FFFF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EB41CA"/>
    <w:rPr>
      <w:rFonts w:ascii="Trebuchet MS" w:eastAsia="MS Mincho" w:hAnsi="Trebuchet MS"/>
      <w:b/>
      <w:color w:val="FFFFFF"/>
      <w:sz w:val="24"/>
      <w:lang w:eastAsia="en-US"/>
    </w:rPr>
  </w:style>
  <w:style w:type="character" w:customStyle="1" w:styleId="Heading2Char">
    <w:name w:val="Heading 2 Char"/>
    <w:link w:val="Heading2"/>
    <w:locked/>
    <w:rsid w:val="00EB41CA"/>
    <w:rPr>
      <w:rFonts w:ascii="Trebuchet MS" w:eastAsia="MS Mincho" w:hAnsi="Trebuchet MS"/>
      <w:b/>
      <w:color w:val="FFFFFF"/>
      <w:sz w:val="20"/>
      <w:lang w:eastAsia="en-US"/>
    </w:rPr>
  </w:style>
  <w:style w:type="paragraph" w:customStyle="1" w:styleId="productlist">
    <w:name w:val="product list"/>
    <w:basedOn w:val="Normal"/>
    <w:uiPriority w:val="99"/>
    <w:rsid w:val="00EB41CA"/>
    <w:pPr>
      <w:spacing w:after="80" w:line="180" w:lineRule="exact"/>
      <w:ind w:left="115"/>
    </w:pPr>
    <w:rPr>
      <w:rFonts w:cs="Tahoma"/>
      <w:sz w:val="18"/>
      <w:szCs w:val="20"/>
    </w:rPr>
  </w:style>
  <w:style w:type="paragraph" w:customStyle="1" w:styleId="subhead">
    <w:name w:val="subhead"/>
    <w:basedOn w:val="Normal"/>
    <w:rsid w:val="00EB41CA"/>
    <w:pPr>
      <w:spacing w:after="80"/>
    </w:pPr>
    <w:rPr>
      <w:rFonts w:cs="Tahoma"/>
      <w:b/>
      <w:color w:val="FFFFFF"/>
      <w:szCs w:val="20"/>
    </w:rPr>
  </w:style>
  <w:style w:type="paragraph" w:customStyle="1" w:styleId="Heading1b">
    <w:name w:val="Heading 1b"/>
    <w:basedOn w:val="Normal"/>
    <w:rsid w:val="00EB41CA"/>
    <w:rPr>
      <w:b/>
      <w:color w:val="FFFFFF"/>
    </w:rPr>
  </w:style>
  <w:style w:type="paragraph" w:styleId="ListParagraph">
    <w:name w:val="List Paragraph"/>
    <w:basedOn w:val="Normal"/>
    <w:qFormat/>
    <w:rsid w:val="00EB41CA"/>
    <w:pPr>
      <w:ind w:left="720"/>
      <w:contextualSpacing/>
    </w:pPr>
  </w:style>
  <w:style w:type="character" w:styleId="Hyperlink">
    <w:name w:val="Hyperlink"/>
    <w:rsid w:val="00EB41CA"/>
    <w:rPr>
      <w:rFonts w:cs="Times New Roman"/>
      <w:color w:val="0000FF"/>
      <w:u w:val="single"/>
    </w:rPr>
  </w:style>
  <w:style w:type="paragraph" w:customStyle="1" w:styleId="exceptionbody">
    <w:name w:val="exception body"/>
    <w:basedOn w:val="Normal"/>
    <w:rsid w:val="00EB41CA"/>
    <w:pPr>
      <w:suppressAutoHyphens w:val="0"/>
      <w:spacing w:after="60" w:line="255" w:lineRule="exact"/>
      <w:ind w:left="216"/>
      <w:textAlignment w:val="auto"/>
    </w:pPr>
    <w:rPr>
      <w:rFonts w:eastAsia="PMingLiU"/>
      <w:color w:val="000000"/>
      <w:sz w:val="18"/>
      <w:szCs w:val="18"/>
      <w:lang w:eastAsia="zh-TW"/>
    </w:rPr>
  </w:style>
  <w:style w:type="paragraph" w:customStyle="1" w:styleId="Normal1">
    <w:name w:val="Normal1"/>
    <w:basedOn w:val="Normal"/>
    <w:rsid w:val="00EB41CA"/>
    <w:pPr>
      <w:suppressAutoHyphens w:val="0"/>
      <w:spacing w:before="100" w:after="100"/>
      <w:textAlignment w:val="auto"/>
    </w:pPr>
    <w:rPr>
      <w:rFonts w:ascii="Times New Roman" w:eastAsia="PMingLiU" w:hAnsi="Times New Roman"/>
      <w:sz w:val="24"/>
      <w:lang w:eastAsia="zh-TW"/>
    </w:rPr>
  </w:style>
  <w:style w:type="paragraph" w:styleId="Header">
    <w:name w:val="header"/>
    <w:basedOn w:val="Normal"/>
    <w:link w:val="HeaderChar"/>
    <w:rsid w:val="003E73B2"/>
    <w:pPr>
      <w:tabs>
        <w:tab w:val="center" w:pos="4680"/>
        <w:tab w:val="right" w:pos="9360"/>
      </w:tabs>
    </w:pPr>
    <w:rPr>
      <w:sz w:val="24"/>
      <w:szCs w:val="20"/>
    </w:rPr>
  </w:style>
  <w:style w:type="character" w:customStyle="1" w:styleId="HeaderChar">
    <w:name w:val="Header Char"/>
    <w:link w:val="Header"/>
    <w:locked/>
    <w:rsid w:val="003E73B2"/>
    <w:rPr>
      <w:rFonts w:ascii="Trebuchet MS" w:eastAsia="MS Mincho" w:hAnsi="Trebuchet MS"/>
      <w:sz w:val="24"/>
      <w:lang w:eastAsia="en-US"/>
    </w:rPr>
  </w:style>
  <w:style w:type="paragraph" w:styleId="Footer">
    <w:name w:val="footer"/>
    <w:basedOn w:val="Normal"/>
    <w:link w:val="FooterChar"/>
    <w:rsid w:val="003E73B2"/>
    <w:pPr>
      <w:tabs>
        <w:tab w:val="center" w:pos="4680"/>
        <w:tab w:val="right" w:pos="9360"/>
      </w:tabs>
    </w:pPr>
    <w:rPr>
      <w:sz w:val="24"/>
      <w:szCs w:val="20"/>
    </w:rPr>
  </w:style>
  <w:style w:type="character" w:customStyle="1" w:styleId="FooterChar">
    <w:name w:val="Footer Char"/>
    <w:link w:val="Footer"/>
    <w:locked/>
    <w:rsid w:val="003E73B2"/>
    <w:rPr>
      <w:rFonts w:ascii="Trebuchet MS" w:eastAsia="MS Mincho" w:hAnsi="Trebuchet MS"/>
      <w:sz w:val="24"/>
      <w:lang w:eastAsia="en-US"/>
    </w:rPr>
  </w:style>
  <w:style w:type="paragraph" w:styleId="BalloonText">
    <w:name w:val="Balloon Text"/>
    <w:basedOn w:val="Normal"/>
    <w:link w:val="BalloonTextChar"/>
    <w:semiHidden/>
    <w:rsid w:val="003E73B2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semiHidden/>
    <w:locked/>
    <w:rsid w:val="003E73B2"/>
    <w:rPr>
      <w:rFonts w:ascii="Tahoma" w:eastAsia="MS Mincho" w:hAnsi="Tahoma"/>
      <w:sz w:val="16"/>
      <w:lang w:eastAsia="en-US"/>
    </w:rPr>
  </w:style>
  <w:style w:type="paragraph" w:customStyle="1" w:styleId="footercolorbar">
    <w:name w:val="footer color bar"/>
    <w:basedOn w:val="Heading2"/>
    <w:rsid w:val="00F158EA"/>
    <w:pPr>
      <w:suppressAutoHyphens w:val="0"/>
      <w:autoSpaceDN/>
      <w:ind w:left="-90"/>
      <w:textAlignment w:val="auto"/>
    </w:pPr>
  </w:style>
  <w:style w:type="paragraph" w:styleId="NormalWeb">
    <w:name w:val="Normal (Web)"/>
    <w:basedOn w:val="Normal"/>
    <w:semiHidden/>
    <w:rsid w:val="00E974E2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PMingLiU" w:hAnsi="Times New Roman"/>
      <w:sz w:val="24"/>
    </w:rPr>
  </w:style>
  <w:style w:type="character" w:styleId="CommentReference">
    <w:name w:val="annotation reference"/>
    <w:semiHidden/>
    <w:rsid w:val="00AB6C19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AB6C19"/>
    <w:rPr>
      <w:szCs w:val="20"/>
    </w:rPr>
  </w:style>
  <w:style w:type="character" w:customStyle="1" w:styleId="CommentTextChar">
    <w:name w:val="Comment Text Char"/>
    <w:link w:val="CommentText"/>
    <w:semiHidden/>
    <w:locked/>
    <w:rsid w:val="00AB6C19"/>
    <w:rPr>
      <w:rFonts w:ascii="Trebuchet MS" w:eastAsia="MS Mincho" w:hAnsi="Trebuchet MS"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6C19"/>
    <w:rPr>
      <w:b/>
    </w:rPr>
  </w:style>
  <w:style w:type="character" w:customStyle="1" w:styleId="CommentSubjectChar">
    <w:name w:val="Comment Subject Char"/>
    <w:link w:val="CommentSubject"/>
    <w:semiHidden/>
    <w:locked/>
    <w:rsid w:val="00AB6C19"/>
    <w:rPr>
      <w:rFonts w:ascii="Trebuchet MS" w:eastAsia="MS Mincho" w:hAnsi="Trebuchet MS"/>
      <w:b/>
      <w:sz w:val="20"/>
      <w:lang w:eastAsia="en-US"/>
    </w:rPr>
  </w:style>
  <w:style w:type="table" w:styleId="TableGrid">
    <w:name w:val="Table Grid"/>
    <w:basedOn w:val="TableNormal"/>
    <w:rsid w:val="00C2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semiHidden/>
    <w:rsid w:val="004215DC"/>
    <w:rPr>
      <w:rFonts w:ascii="Trebuchet MS" w:eastAsia="MS Mincho" w:hAnsi="Trebuchet MS"/>
      <w:szCs w:val="24"/>
    </w:rPr>
  </w:style>
  <w:style w:type="character" w:customStyle="1" w:styleId="LogoportDoNotTranslate">
    <w:name w:val="LogoportDoNotTranslate"/>
    <w:rsid w:val="002B0235"/>
    <w:rPr>
      <w:rFonts w:ascii="Courier New" w:hAnsi="Courier New" w:cs="Courier New"/>
      <w:color w:val="808080"/>
      <w:sz w:val="28"/>
      <w:szCs w:val="28"/>
    </w:rPr>
  </w:style>
  <w:style w:type="character" w:customStyle="1" w:styleId="LogoportMarkup">
    <w:name w:val="LogoportMarkup"/>
    <w:rsid w:val="002B0235"/>
    <w:rPr>
      <w:rFonts w:ascii="Courier New" w:hAnsi="Courier New" w:cs="Courier New"/>
      <w:color w:val="FF0000"/>
      <w:sz w:val="28"/>
      <w:szCs w:val="28"/>
    </w:rPr>
  </w:style>
  <w:style w:type="paragraph" w:customStyle="1" w:styleId="PargrafodaLista">
    <w:name w:val="Parágrafo da Lista"/>
    <w:basedOn w:val="Normal"/>
    <w:rsid w:val="003C16ED"/>
    <w:pPr>
      <w:autoSpaceDE w:val="0"/>
      <w:adjustRightInd w:val="0"/>
      <w:ind w:left="720"/>
      <w:contextualSpacing/>
    </w:pPr>
    <w:rPr>
      <w:rFonts w:eastAsia="PMingLiU"/>
      <w:lang w:val="de-DE" w:eastAsia="pt-PT"/>
    </w:rPr>
  </w:style>
  <w:style w:type="character" w:styleId="FollowedHyperlink">
    <w:name w:val="FollowedHyperlink"/>
    <w:rsid w:val="0092082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crosoft.com/technet/security/topics/serversecurity/avdind_2.mspx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icrosoft.com/technet/security/topics/serversecurity/avdind_2.mspx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89FFB-620C-41C9-931D-6678F5B4F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2472</Words>
  <Characters>14096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Contrato de Nível de Serviço para os Serviços Online da Microsoft</vt:lpstr>
    </vt:vector>
  </TitlesOfParts>
  <Company>Microsoft</Company>
  <LinksUpToDate>false</LinksUpToDate>
  <CharactersWithSpaces>16535</CharactersWithSpaces>
  <SharedDoc>false</SharedDoc>
  <HLinks>
    <vt:vector size="12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http://www.microsoft.com/technet/security/topics/serversecurity/avdind_2.mspx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http://www.microsoft.com/technet/security/topics/serversecurity/avdind_2.mspx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Nível de Serviço para os Serviços Online da Microsoft</dc:title>
  <dc:subject/>
  <dc:creator>lakgov</dc:creator>
  <cp:keywords/>
  <dc:description/>
  <cp:lastModifiedBy>Chris Ingrao</cp:lastModifiedBy>
  <cp:revision>96</cp:revision>
  <cp:lastPrinted>2011-10-18T03:31:00Z</cp:lastPrinted>
  <dcterms:created xsi:type="dcterms:W3CDTF">2011-10-17T04:10:00Z</dcterms:created>
  <dcterms:modified xsi:type="dcterms:W3CDTF">2011-10-22T13:57:00Z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0x0101004C39036AA02DF443899AC2C947943EDA</vt:lpwstr>
  </property>
</Properties>
</file>