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047E284F"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février 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1735639"/>
      <w:r>
        <w:lastRenderedPageBreak/>
        <w:t>Table des matières</w:t>
      </w:r>
      <w:bookmarkEnd w:id="2"/>
      <w:bookmarkEnd w:id="3"/>
    </w:p>
    <w:p w14:paraId="3D9DC554" w14:textId="62A6B8AE" w:rsidR="000237B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1735639" w:history="1">
        <w:r w:rsidR="000237B7" w:rsidRPr="00A50E57">
          <w:rPr>
            <w:rStyle w:val="Hyperlink"/>
            <w:noProof/>
          </w:rPr>
          <w:t>Table des matières</w:t>
        </w:r>
        <w:r w:rsidR="000237B7">
          <w:rPr>
            <w:noProof/>
            <w:webHidden/>
          </w:rPr>
          <w:tab/>
        </w:r>
        <w:r w:rsidR="000237B7">
          <w:rPr>
            <w:noProof/>
            <w:webHidden/>
          </w:rPr>
          <w:fldChar w:fldCharType="begin"/>
        </w:r>
        <w:r w:rsidR="000237B7">
          <w:rPr>
            <w:noProof/>
            <w:webHidden/>
          </w:rPr>
          <w:instrText xml:space="preserve"> PAGEREF _Toc471735639 \h </w:instrText>
        </w:r>
        <w:r w:rsidR="000237B7">
          <w:rPr>
            <w:noProof/>
            <w:webHidden/>
          </w:rPr>
        </w:r>
        <w:r w:rsidR="000237B7">
          <w:rPr>
            <w:noProof/>
            <w:webHidden/>
          </w:rPr>
          <w:fldChar w:fldCharType="separate"/>
        </w:r>
        <w:r w:rsidR="000237B7">
          <w:rPr>
            <w:noProof/>
            <w:webHidden/>
          </w:rPr>
          <w:t>2</w:t>
        </w:r>
        <w:r w:rsidR="000237B7">
          <w:rPr>
            <w:noProof/>
            <w:webHidden/>
          </w:rPr>
          <w:fldChar w:fldCharType="end"/>
        </w:r>
      </w:hyperlink>
    </w:p>
    <w:p w14:paraId="68A8027A" w14:textId="063292B0" w:rsidR="000237B7" w:rsidRDefault="00913DC6">
      <w:pPr>
        <w:pStyle w:val="TOC1"/>
        <w:tabs>
          <w:tab w:val="right" w:leader="dot" w:pos="5030"/>
        </w:tabs>
        <w:rPr>
          <w:rFonts w:eastAsiaTheme="minorEastAsia"/>
          <w:b w:val="0"/>
          <w:caps w:val="0"/>
          <w:noProof/>
          <w:sz w:val="22"/>
          <w:lang w:val="en-US" w:eastAsia="en-US" w:bidi="ar-SA"/>
        </w:rPr>
      </w:pPr>
      <w:hyperlink w:anchor="_Toc471735640" w:history="1">
        <w:r w:rsidR="000237B7" w:rsidRPr="00A50E57">
          <w:rPr>
            <w:rStyle w:val="Hyperlink"/>
            <w:noProof/>
          </w:rPr>
          <w:t>Introduction</w:t>
        </w:r>
        <w:r w:rsidR="000237B7">
          <w:rPr>
            <w:noProof/>
            <w:webHidden/>
          </w:rPr>
          <w:tab/>
        </w:r>
        <w:r w:rsidR="000237B7">
          <w:rPr>
            <w:noProof/>
            <w:webHidden/>
          </w:rPr>
          <w:fldChar w:fldCharType="begin"/>
        </w:r>
        <w:r w:rsidR="000237B7">
          <w:rPr>
            <w:noProof/>
            <w:webHidden/>
          </w:rPr>
          <w:instrText xml:space="preserve"> PAGEREF _Toc471735640 \h </w:instrText>
        </w:r>
        <w:r w:rsidR="000237B7">
          <w:rPr>
            <w:noProof/>
            <w:webHidden/>
          </w:rPr>
        </w:r>
        <w:r w:rsidR="000237B7">
          <w:rPr>
            <w:noProof/>
            <w:webHidden/>
          </w:rPr>
          <w:fldChar w:fldCharType="separate"/>
        </w:r>
        <w:r w:rsidR="000237B7">
          <w:rPr>
            <w:noProof/>
            <w:webHidden/>
          </w:rPr>
          <w:t>3</w:t>
        </w:r>
        <w:r w:rsidR="000237B7">
          <w:rPr>
            <w:noProof/>
            <w:webHidden/>
          </w:rPr>
          <w:fldChar w:fldCharType="end"/>
        </w:r>
      </w:hyperlink>
    </w:p>
    <w:p w14:paraId="1073EFCB" w14:textId="37A26D67" w:rsidR="000237B7" w:rsidRDefault="00913DC6">
      <w:pPr>
        <w:pStyle w:val="TOC3"/>
        <w:tabs>
          <w:tab w:val="right" w:leader="dot" w:pos="5030"/>
        </w:tabs>
        <w:rPr>
          <w:rFonts w:eastAsiaTheme="minorEastAsia"/>
          <w:smallCaps w:val="0"/>
          <w:noProof/>
          <w:sz w:val="22"/>
          <w:lang w:val="en-US" w:eastAsia="en-US" w:bidi="ar-SA"/>
        </w:rPr>
      </w:pPr>
      <w:hyperlink w:anchor="_Toc471735641" w:history="1">
        <w:r w:rsidR="000237B7" w:rsidRPr="00A50E57">
          <w:rPr>
            <w:rStyle w:val="Hyperlink"/>
            <w:noProof/>
          </w:rPr>
          <w:t>À propos de ce Document</w:t>
        </w:r>
        <w:r w:rsidR="000237B7">
          <w:rPr>
            <w:noProof/>
            <w:webHidden/>
          </w:rPr>
          <w:tab/>
        </w:r>
        <w:r w:rsidR="000237B7">
          <w:rPr>
            <w:noProof/>
            <w:webHidden/>
          </w:rPr>
          <w:fldChar w:fldCharType="begin"/>
        </w:r>
        <w:r w:rsidR="000237B7">
          <w:rPr>
            <w:noProof/>
            <w:webHidden/>
          </w:rPr>
          <w:instrText xml:space="preserve"> PAGEREF _Toc471735641 \h </w:instrText>
        </w:r>
        <w:r w:rsidR="000237B7">
          <w:rPr>
            <w:noProof/>
            <w:webHidden/>
          </w:rPr>
        </w:r>
        <w:r w:rsidR="000237B7">
          <w:rPr>
            <w:noProof/>
            <w:webHidden/>
          </w:rPr>
          <w:fldChar w:fldCharType="separate"/>
        </w:r>
        <w:r w:rsidR="000237B7">
          <w:rPr>
            <w:noProof/>
            <w:webHidden/>
          </w:rPr>
          <w:t>3</w:t>
        </w:r>
        <w:r w:rsidR="000237B7">
          <w:rPr>
            <w:noProof/>
            <w:webHidden/>
          </w:rPr>
          <w:fldChar w:fldCharType="end"/>
        </w:r>
      </w:hyperlink>
    </w:p>
    <w:p w14:paraId="4AC300AF" w14:textId="1B33FA0A" w:rsidR="000237B7" w:rsidRDefault="00913DC6">
      <w:pPr>
        <w:pStyle w:val="TOC3"/>
        <w:tabs>
          <w:tab w:val="right" w:leader="dot" w:pos="5030"/>
        </w:tabs>
        <w:rPr>
          <w:rFonts w:eastAsiaTheme="minorEastAsia"/>
          <w:smallCaps w:val="0"/>
          <w:noProof/>
          <w:sz w:val="22"/>
          <w:lang w:val="en-US" w:eastAsia="en-US" w:bidi="ar-SA"/>
        </w:rPr>
      </w:pPr>
      <w:hyperlink w:anchor="_Toc471735642" w:history="1">
        <w:r w:rsidR="000237B7" w:rsidRPr="00A50E57">
          <w:rPr>
            <w:rStyle w:val="Hyperlink"/>
            <w:noProof/>
          </w:rPr>
          <w:t>Contenu de ce Document</w:t>
        </w:r>
        <w:r w:rsidR="000237B7">
          <w:rPr>
            <w:noProof/>
            <w:webHidden/>
          </w:rPr>
          <w:tab/>
        </w:r>
        <w:r w:rsidR="000237B7">
          <w:rPr>
            <w:noProof/>
            <w:webHidden/>
          </w:rPr>
          <w:fldChar w:fldCharType="begin"/>
        </w:r>
        <w:r w:rsidR="000237B7">
          <w:rPr>
            <w:noProof/>
            <w:webHidden/>
          </w:rPr>
          <w:instrText xml:space="preserve"> PAGEREF _Toc471735642 \h </w:instrText>
        </w:r>
        <w:r w:rsidR="000237B7">
          <w:rPr>
            <w:noProof/>
            <w:webHidden/>
          </w:rPr>
        </w:r>
        <w:r w:rsidR="000237B7">
          <w:rPr>
            <w:noProof/>
            <w:webHidden/>
          </w:rPr>
          <w:fldChar w:fldCharType="separate"/>
        </w:r>
        <w:r w:rsidR="000237B7">
          <w:rPr>
            <w:noProof/>
            <w:webHidden/>
          </w:rPr>
          <w:t>3</w:t>
        </w:r>
        <w:r w:rsidR="000237B7">
          <w:rPr>
            <w:noProof/>
            <w:webHidden/>
          </w:rPr>
          <w:fldChar w:fldCharType="end"/>
        </w:r>
      </w:hyperlink>
    </w:p>
    <w:p w14:paraId="35FE0D6B" w14:textId="73A7D6CF" w:rsidR="000237B7" w:rsidRDefault="00913DC6">
      <w:pPr>
        <w:pStyle w:val="TOC3"/>
        <w:tabs>
          <w:tab w:val="right" w:leader="dot" w:pos="5030"/>
        </w:tabs>
        <w:rPr>
          <w:rFonts w:eastAsiaTheme="minorEastAsia"/>
          <w:smallCaps w:val="0"/>
          <w:noProof/>
          <w:sz w:val="22"/>
          <w:lang w:val="en-US" w:eastAsia="en-US" w:bidi="ar-SA"/>
        </w:rPr>
      </w:pPr>
      <w:hyperlink w:anchor="_Toc471735643" w:history="1">
        <w:r w:rsidR="000237B7" w:rsidRPr="00A50E57">
          <w:rPr>
            <w:rStyle w:val="Hyperlink"/>
            <w:noProof/>
          </w:rPr>
          <w:t>Entrée Produit</w:t>
        </w:r>
        <w:r w:rsidR="000237B7">
          <w:rPr>
            <w:noProof/>
            <w:webHidden/>
          </w:rPr>
          <w:tab/>
        </w:r>
        <w:r w:rsidR="000237B7">
          <w:rPr>
            <w:noProof/>
            <w:webHidden/>
          </w:rPr>
          <w:fldChar w:fldCharType="begin"/>
        </w:r>
        <w:r w:rsidR="000237B7">
          <w:rPr>
            <w:noProof/>
            <w:webHidden/>
          </w:rPr>
          <w:instrText xml:space="preserve"> PAGEREF _Toc471735643 \h </w:instrText>
        </w:r>
        <w:r w:rsidR="000237B7">
          <w:rPr>
            <w:noProof/>
            <w:webHidden/>
          </w:rPr>
        </w:r>
        <w:r w:rsidR="000237B7">
          <w:rPr>
            <w:noProof/>
            <w:webHidden/>
          </w:rPr>
          <w:fldChar w:fldCharType="separate"/>
        </w:r>
        <w:r w:rsidR="000237B7">
          <w:rPr>
            <w:noProof/>
            <w:webHidden/>
          </w:rPr>
          <w:t>3</w:t>
        </w:r>
        <w:r w:rsidR="000237B7">
          <w:rPr>
            <w:noProof/>
            <w:webHidden/>
          </w:rPr>
          <w:fldChar w:fldCharType="end"/>
        </w:r>
      </w:hyperlink>
    </w:p>
    <w:p w14:paraId="6E55A586" w14:textId="27D5FA16" w:rsidR="000237B7" w:rsidRDefault="00913DC6">
      <w:pPr>
        <w:pStyle w:val="TOC3"/>
        <w:tabs>
          <w:tab w:val="right" w:leader="dot" w:pos="5030"/>
        </w:tabs>
        <w:rPr>
          <w:rFonts w:eastAsiaTheme="minorEastAsia"/>
          <w:smallCaps w:val="0"/>
          <w:noProof/>
          <w:sz w:val="22"/>
          <w:lang w:val="en-US" w:eastAsia="en-US" w:bidi="ar-SA"/>
        </w:rPr>
      </w:pPr>
      <w:hyperlink w:anchor="_Toc471735644" w:history="1">
        <w:r w:rsidR="000237B7" w:rsidRPr="00A50E57">
          <w:rPr>
            <w:rStyle w:val="Hyperlink"/>
            <w:noProof/>
          </w:rPr>
          <w:t>Clarifications et synthèse des modifications apportées à ce Document</w:t>
        </w:r>
        <w:r w:rsidR="000237B7">
          <w:rPr>
            <w:noProof/>
            <w:webHidden/>
          </w:rPr>
          <w:tab/>
        </w:r>
        <w:r w:rsidR="000237B7">
          <w:rPr>
            <w:noProof/>
            <w:webHidden/>
          </w:rPr>
          <w:fldChar w:fldCharType="begin"/>
        </w:r>
        <w:r w:rsidR="000237B7">
          <w:rPr>
            <w:noProof/>
            <w:webHidden/>
          </w:rPr>
          <w:instrText xml:space="preserve"> PAGEREF _Toc471735644 \h </w:instrText>
        </w:r>
        <w:r w:rsidR="000237B7">
          <w:rPr>
            <w:noProof/>
            <w:webHidden/>
          </w:rPr>
        </w:r>
        <w:r w:rsidR="000237B7">
          <w:rPr>
            <w:noProof/>
            <w:webHidden/>
          </w:rPr>
          <w:fldChar w:fldCharType="separate"/>
        </w:r>
        <w:r w:rsidR="000237B7">
          <w:rPr>
            <w:noProof/>
            <w:webHidden/>
          </w:rPr>
          <w:t>3</w:t>
        </w:r>
        <w:r w:rsidR="000237B7">
          <w:rPr>
            <w:noProof/>
            <w:webHidden/>
          </w:rPr>
          <w:fldChar w:fldCharType="end"/>
        </w:r>
      </w:hyperlink>
    </w:p>
    <w:p w14:paraId="66BBF5D8" w14:textId="2A7438B2" w:rsidR="000237B7" w:rsidRDefault="00913DC6">
      <w:pPr>
        <w:pStyle w:val="TOC1"/>
        <w:tabs>
          <w:tab w:val="right" w:leader="dot" w:pos="5030"/>
        </w:tabs>
        <w:rPr>
          <w:rFonts w:eastAsiaTheme="minorEastAsia"/>
          <w:b w:val="0"/>
          <w:caps w:val="0"/>
          <w:noProof/>
          <w:sz w:val="22"/>
          <w:lang w:val="en-US" w:eastAsia="en-US" w:bidi="ar-SA"/>
        </w:rPr>
      </w:pPr>
      <w:hyperlink w:anchor="_Toc471735645" w:history="1">
        <w:r w:rsidR="000237B7" w:rsidRPr="00A50E57">
          <w:rPr>
            <w:rStyle w:val="Hyperlink"/>
            <w:noProof/>
          </w:rPr>
          <w:t>Conditions de Licence</w:t>
        </w:r>
        <w:r w:rsidR="000237B7">
          <w:rPr>
            <w:noProof/>
            <w:webHidden/>
          </w:rPr>
          <w:tab/>
        </w:r>
        <w:r w:rsidR="000237B7">
          <w:rPr>
            <w:noProof/>
            <w:webHidden/>
          </w:rPr>
          <w:fldChar w:fldCharType="begin"/>
        </w:r>
        <w:r w:rsidR="000237B7">
          <w:rPr>
            <w:noProof/>
            <w:webHidden/>
          </w:rPr>
          <w:instrText xml:space="preserve"> PAGEREF _Toc471735645 \h </w:instrText>
        </w:r>
        <w:r w:rsidR="000237B7">
          <w:rPr>
            <w:noProof/>
            <w:webHidden/>
          </w:rPr>
        </w:r>
        <w:r w:rsidR="000237B7">
          <w:rPr>
            <w:noProof/>
            <w:webHidden/>
          </w:rPr>
          <w:fldChar w:fldCharType="separate"/>
        </w:r>
        <w:r w:rsidR="000237B7">
          <w:rPr>
            <w:noProof/>
            <w:webHidden/>
          </w:rPr>
          <w:t>4</w:t>
        </w:r>
        <w:r w:rsidR="000237B7">
          <w:rPr>
            <w:noProof/>
            <w:webHidden/>
          </w:rPr>
          <w:fldChar w:fldCharType="end"/>
        </w:r>
      </w:hyperlink>
    </w:p>
    <w:p w14:paraId="53D35C86" w14:textId="53E67B4D" w:rsidR="000237B7" w:rsidRDefault="00913DC6">
      <w:pPr>
        <w:pStyle w:val="TOC2"/>
        <w:rPr>
          <w:rFonts w:eastAsiaTheme="minorEastAsia"/>
          <w:b w:val="0"/>
          <w:smallCaps w:val="0"/>
          <w:noProof/>
          <w:sz w:val="22"/>
          <w:lang w:val="en-US" w:eastAsia="en-US" w:bidi="ar-SA"/>
        </w:rPr>
      </w:pPr>
      <w:hyperlink w:anchor="_Toc471735646" w:history="1">
        <w:r w:rsidR="000237B7" w:rsidRPr="00A50E57">
          <w:rPr>
            <w:rStyle w:val="Hyperlink"/>
            <w:noProof/>
          </w:rPr>
          <w:t>Conditions Universelles de Licence</w:t>
        </w:r>
        <w:r w:rsidR="000237B7">
          <w:rPr>
            <w:noProof/>
            <w:webHidden/>
          </w:rPr>
          <w:tab/>
        </w:r>
        <w:r w:rsidR="000237B7">
          <w:rPr>
            <w:noProof/>
            <w:webHidden/>
          </w:rPr>
          <w:fldChar w:fldCharType="begin"/>
        </w:r>
        <w:r w:rsidR="000237B7">
          <w:rPr>
            <w:noProof/>
            <w:webHidden/>
          </w:rPr>
          <w:instrText xml:space="preserve"> PAGEREF _Toc471735646 \h </w:instrText>
        </w:r>
        <w:r w:rsidR="000237B7">
          <w:rPr>
            <w:noProof/>
            <w:webHidden/>
          </w:rPr>
        </w:r>
        <w:r w:rsidR="000237B7">
          <w:rPr>
            <w:noProof/>
            <w:webHidden/>
          </w:rPr>
          <w:fldChar w:fldCharType="separate"/>
        </w:r>
        <w:r w:rsidR="000237B7">
          <w:rPr>
            <w:noProof/>
            <w:webHidden/>
          </w:rPr>
          <w:t>4</w:t>
        </w:r>
        <w:r w:rsidR="000237B7">
          <w:rPr>
            <w:noProof/>
            <w:webHidden/>
          </w:rPr>
          <w:fldChar w:fldCharType="end"/>
        </w:r>
      </w:hyperlink>
    </w:p>
    <w:p w14:paraId="6E916096" w14:textId="11D01237" w:rsidR="000237B7" w:rsidRDefault="00913DC6">
      <w:pPr>
        <w:pStyle w:val="TOC2"/>
        <w:rPr>
          <w:rFonts w:eastAsiaTheme="minorEastAsia"/>
          <w:b w:val="0"/>
          <w:smallCaps w:val="0"/>
          <w:noProof/>
          <w:sz w:val="22"/>
          <w:lang w:val="en-US" w:eastAsia="en-US" w:bidi="ar-SA"/>
        </w:rPr>
      </w:pPr>
      <w:hyperlink w:anchor="_Toc471735647" w:history="1">
        <w:r w:rsidR="000237B7" w:rsidRPr="00A50E57">
          <w:rPr>
            <w:rStyle w:val="Hyperlink"/>
            <w:noProof/>
          </w:rPr>
          <w:t>Conditions de Modèle de Licence</w:t>
        </w:r>
        <w:r w:rsidR="000237B7">
          <w:rPr>
            <w:noProof/>
            <w:webHidden/>
          </w:rPr>
          <w:tab/>
        </w:r>
        <w:r w:rsidR="000237B7">
          <w:rPr>
            <w:noProof/>
            <w:webHidden/>
          </w:rPr>
          <w:fldChar w:fldCharType="begin"/>
        </w:r>
        <w:r w:rsidR="000237B7">
          <w:rPr>
            <w:noProof/>
            <w:webHidden/>
          </w:rPr>
          <w:instrText xml:space="preserve"> PAGEREF _Toc471735647 \h </w:instrText>
        </w:r>
        <w:r w:rsidR="000237B7">
          <w:rPr>
            <w:noProof/>
            <w:webHidden/>
          </w:rPr>
        </w:r>
        <w:r w:rsidR="000237B7">
          <w:rPr>
            <w:noProof/>
            <w:webHidden/>
          </w:rPr>
          <w:fldChar w:fldCharType="separate"/>
        </w:r>
        <w:r w:rsidR="000237B7">
          <w:rPr>
            <w:noProof/>
            <w:webHidden/>
          </w:rPr>
          <w:t>7</w:t>
        </w:r>
        <w:r w:rsidR="000237B7">
          <w:rPr>
            <w:noProof/>
            <w:webHidden/>
          </w:rPr>
          <w:fldChar w:fldCharType="end"/>
        </w:r>
      </w:hyperlink>
    </w:p>
    <w:p w14:paraId="5A334783" w14:textId="423EF4D1" w:rsidR="000237B7" w:rsidRDefault="00913DC6">
      <w:pPr>
        <w:pStyle w:val="TOC4"/>
        <w:tabs>
          <w:tab w:val="right" w:leader="dot" w:pos="5030"/>
        </w:tabs>
        <w:rPr>
          <w:rFonts w:eastAsiaTheme="minorEastAsia"/>
          <w:smallCaps w:val="0"/>
          <w:noProof/>
          <w:sz w:val="22"/>
          <w:lang w:val="en-US" w:eastAsia="en-US" w:bidi="ar-SA"/>
        </w:rPr>
      </w:pPr>
      <w:hyperlink w:anchor="_Toc471735648" w:history="1">
        <w:r w:rsidR="000237B7" w:rsidRPr="00A50E57">
          <w:rPr>
            <w:rStyle w:val="Hyperlink"/>
            <w:noProof/>
          </w:rPr>
          <w:t>Par Cœur (Applications)</w:t>
        </w:r>
        <w:r w:rsidR="000237B7">
          <w:rPr>
            <w:noProof/>
            <w:webHidden/>
          </w:rPr>
          <w:tab/>
        </w:r>
        <w:r w:rsidR="000237B7">
          <w:rPr>
            <w:noProof/>
            <w:webHidden/>
          </w:rPr>
          <w:fldChar w:fldCharType="begin"/>
        </w:r>
        <w:r w:rsidR="000237B7">
          <w:rPr>
            <w:noProof/>
            <w:webHidden/>
          </w:rPr>
          <w:instrText xml:space="preserve"> PAGEREF _Toc471735648 \h </w:instrText>
        </w:r>
        <w:r w:rsidR="000237B7">
          <w:rPr>
            <w:noProof/>
            <w:webHidden/>
          </w:rPr>
        </w:r>
        <w:r w:rsidR="000237B7">
          <w:rPr>
            <w:noProof/>
            <w:webHidden/>
          </w:rPr>
          <w:fldChar w:fldCharType="separate"/>
        </w:r>
        <w:r w:rsidR="000237B7">
          <w:rPr>
            <w:noProof/>
            <w:webHidden/>
          </w:rPr>
          <w:t>7</w:t>
        </w:r>
        <w:r w:rsidR="000237B7">
          <w:rPr>
            <w:noProof/>
            <w:webHidden/>
          </w:rPr>
          <w:fldChar w:fldCharType="end"/>
        </w:r>
      </w:hyperlink>
    </w:p>
    <w:p w14:paraId="7C4B5184" w14:textId="54DD8D62" w:rsidR="000237B7" w:rsidRDefault="00913DC6">
      <w:pPr>
        <w:pStyle w:val="TOC4"/>
        <w:tabs>
          <w:tab w:val="right" w:leader="dot" w:pos="5030"/>
        </w:tabs>
        <w:rPr>
          <w:rFonts w:eastAsiaTheme="minorEastAsia"/>
          <w:smallCaps w:val="0"/>
          <w:noProof/>
          <w:sz w:val="22"/>
          <w:lang w:val="en-US" w:eastAsia="en-US" w:bidi="ar-SA"/>
        </w:rPr>
      </w:pPr>
      <w:hyperlink w:anchor="_Toc471735649" w:history="1">
        <w:r w:rsidR="000237B7" w:rsidRPr="00A50E57">
          <w:rPr>
            <w:rStyle w:val="Hyperlink"/>
            <w:noProof/>
          </w:rPr>
          <w:t>Par Cœur (Gestion)</w:t>
        </w:r>
        <w:r w:rsidR="000237B7">
          <w:rPr>
            <w:noProof/>
            <w:webHidden/>
          </w:rPr>
          <w:tab/>
        </w:r>
        <w:r w:rsidR="000237B7">
          <w:rPr>
            <w:noProof/>
            <w:webHidden/>
          </w:rPr>
          <w:fldChar w:fldCharType="begin"/>
        </w:r>
        <w:r w:rsidR="000237B7">
          <w:rPr>
            <w:noProof/>
            <w:webHidden/>
          </w:rPr>
          <w:instrText xml:space="preserve"> PAGEREF _Toc471735649 \h </w:instrText>
        </w:r>
        <w:r w:rsidR="000237B7">
          <w:rPr>
            <w:noProof/>
            <w:webHidden/>
          </w:rPr>
        </w:r>
        <w:r w:rsidR="000237B7">
          <w:rPr>
            <w:noProof/>
            <w:webHidden/>
          </w:rPr>
          <w:fldChar w:fldCharType="separate"/>
        </w:r>
        <w:r w:rsidR="000237B7">
          <w:rPr>
            <w:noProof/>
            <w:webHidden/>
          </w:rPr>
          <w:t>8</w:t>
        </w:r>
        <w:r w:rsidR="000237B7">
          <w:rPr>
            <w:noProof/>
            <w:webHidden/>
          </w:rPr>
          <w:fldChar w:fldCharType="end"/>
        </w:r>
      </w:hyperlink>
    </w:p>
    <w:p w14:paraId="7083287D" w14:textId="180D06D8" w:rsidR="000237B7" w:rsidRDefault="00913DC6">
      <w:pPr>
        <w:pStyle w:val="TOC4"/>
        <w:tabs>
          <w:tab w:val="right" w:leader="dot" w:pos="5030"/>
        </w:tabs>
        <w:rPr>
          <w:rFonts w:eastAsiaTheme="minorEastAsia"/>
          <w:smallCaps w:val="0"/>
          <w:noProof/>
          <w:sz w:val="22"/>
          <w:lang w:val="en-US" w:eastAsia="en-US" w:bidi="ar-SA"/>
        </w:rPr>
      </w:pPr>
      <w:hyperlink w:anchor="_Toc471735650" w:history="1">
        <w:r w:rsidR="000237B7" w:rsidRPr="00A50E57">
          <w:rPr>
            <w:rStyle w:val="Hyperlink"/>
            <w:noProof/>
          </w:rPr>
          <w:t>Par Cœur (SE)</w:t>
        </w:r>
        <w:r w:rsidR="000237B7">
          <w:rPr>
            <w:noProof/>
            <w:webHidden/>
          </w:rPr>
          <w:tab/>
        </w:r>
        <w:r w:rsidR="000237B7">
          <w:rPr>
            <w:noProof/>
            <w:webHidden/>
          </w:rPr>
          <w:fldChar w:fldCharType="begin"/>
        </w:r>
        <w:r w:rsidR="000237B7">
          <w:rPr>
            <w:noProof/>
            <w:webHidden/>
          </w:rPr>
          <w:instrText xml:space="preserve"> PAGEREF _Toc471735650 \h </w:instrText>
        </w:r>
        <w:r w:rsidR="000237B7">
          <w:rPr>
            <w:noProof/>
            <w:webHidden/>
          </w:rPr>
        </w:r>
        <w:r w:rsidR="000237B7">
          <w:rPr>
            <w:noProof/>
            <w:webHidden/>
          </w:rPr>
          <w:fldChar w:fldCharType="separate"/>
        </w:r>
        <w:r w:rsidR="000237B7">
          <w:rPr>
            <w:noProof/>
            <w:webHidden/>
          </w:rPr>
          <w:t>8</w:t>
        </w:r>
        <w:r w:rsidR="000237B7">
          <w:rPr>
            <w:noProof/>
            <w:webHidden/>
          </w:rPr>
          <w:fldChar w:fldCharType="end"/>
        </w:r>
      </w:hyperlink>
    </w:p>
    <w:p w14:paraId="72B54735" w14:textId="4F509001" w:rsidR="000237B7" w:rsidRDefault="00913DC6">
      <w:pPr>
        <w:pStyle w:val="TOC4"/>
        <w:tabs>
          <w:tab w:val="right" w:leader="dot" w:pos="5030"/>
        </w:tabs>
        <w:rPr>
          <w:rFonts w:eastAsiaTheme="minorEastAsia"/>
          <w:smallCaps w:val="0"/>
          <w:noProof/>
          <w:sz w:val="22"/>
          <w:lang w:val="en-US" w:eastAsia="en-US" w:bidi="ar-SA"/>
        </w:rPr>
      </w:pPr>
      <w:hyperlink w:anchor="_Toc471735651" w:history="1">
        <w:r w:rsidR="000237B7" w:rsidRPr="00A50E57">
          <w:rPr>
            <w:rStyle w:val="Hyperlink"/>
            <w:noProof/>
          </w:rPr>
          <w:t>Par processeur</w:t>
        </w:r>
        <w:r w:rsidR="000237B7">
          <w:rPr>
            <w:noProof/>
            <w:webHidden/>
          </w:rPr>
          <w:tab/>
        </w:r>
        <w:r w:rsidR="000237B7">
          <w:rPr>
            <w:noProof/>
            <w:webHidden/>
          </w:rPr>
          <w:fldChar w:fldCharType="begin"/>
        </w:r>
        <w:r w:rsidR="000237B7">
          <w:rPr>
            <w:noProof/>
            <w:webHidden/>
          </w:rPr>
          <w:instrText xml:space="preserve"> PAGEREF _Toc471735651 \h </w:instrText>
        </w:r>
        <w:r w:rsidR="000237B7">
          <w:rPr>
            <w:noProof/>
            <w:webHidden/>
          </w:rPr>
        </w:r>
        <w:r w:rsidR="000237B7">
          <w:rPr>
            <w:noProof/>
            <w:webHidden/>
          </w:rPr>
          <w:fldChar w:fldCharType="separate"/>
        </w:r>
        <w:r w:rsidR="000237B7">
          <w:rPr>
            <w:noProof/>
            <w:webHidden/>
          </w:rPr>
          <w:t>8</w:t>
        </w:r>
        <w:r w:rsidR="000237B7">
          <w:rPr>
            <w:noProof/>
            <w:webHidden/>
          </w:rPr>
          <w:fldChar w:fldCharType="end"/>
        </w:r>
      </w:hyperlink>
    </w:p>
    <w:p w14:paraId="2F79A993" w14:textId="646ED6CA" w:rsidR="000237B7" w:rsidRDefault="00913DC6">
      <w:pPr>
        <w:pStyle w:val="TOC4"/>
        <w:tabs>
          <w:tab w:val="right" w:leader="dot" w:pos="5030"/>
        </w:tabs>
        <w:rPr>
          <w:rFonts w:eastAsiaTheme="minorEastAsia"/>
          <w:smallCaps w:val="0"/>
          <w:noProof/>
          <w:sz w:val="22"/>
          <w:lang w:val="en-US" w:eastAsia="en-US" w:bidi="ar-SA"/>
        </w:rPr>
      </w:pPr>
      <w:hyperlink w:anchor="_Toc471735652" w:history="1">
        <w:r w:rsidR="000237B7" w:rsidRPr="00A50E57">
          <w:rPr>
            <w:rStyle w:val="Hyperlink"/>
            <w:noProof/>
          </w:rPr>
          <w:t>Licences d’Accès SAL (Subscriber Access License) pour Logiciel Serveur</w:t>
        </w:r>
        <w:r w:rsidR="000237B7">
          <w:rPr>
            <w:noProof/>
            <w:webHidden/>
          </w:rPr>
          <w:tab/>
        </w:r>
        <w:r w:rsidR="000237B7">
          <w:rPr>
            <w:noProof/>
            <w:webHidden/>
          </w:rPr>
          <w:fldChar w:fldCharType="begin"/>
        </w:r>
        <w:r w:rsidR="000237B7">
          <w:rPr>
            <w:noProof/>
            <w:webHidden/>
          </w:rPr>
          <w:instrText xml:space="preserve"> PAGEREF _Toc471735652 \h </w:instrText>
        </w:r>
        <w:r w:rsidR="000237B7">
          <w:rPr>
            <w:noProof/>
            <w:webHidden/>
          </w:rPr>
        </w:r>
        <w:r w:rsidR="000237B7">
          <w:rPr>
            <w:noProof/>
            <w:webHidden/>
          </w:rPr>
          <w:fldChar w:fldCharType="separate"/>
        </w:r>
        <w:r w:rsidR="000237B7">
          <w:rPr>
            <w:noProof/>
            <w:webHidden/>
          </w:rPr>
          <w:t>8</w:t>
        </w:r>
        <w:r w:rsidR="000237B7">
          <w:rPr>
            <w:noProof/>
            <w:webHidden/>
          </w:rPr>
          <w:fldChar w:fldCharType="end"/>
        </w:r>
      </w:hyperlink>
    </w:p>
    <w:p w14:paraId="696B46D7" w14:textId="26BE2235" w:rsidR="000237B7" w:rsidRDefault="00913DC6">
      <w:pPr>
        <w:pStyle w:val="TOC4"/>
        <w:tabs>
          <w:tab w:val="right" w:leader="dot" w:pos="5030"/>
        </w:tabs>
        <w:rPr>
          <w:rFonts w:eastAsiaTheme="minorEastAsia"/>
          <w:smallCaps w:val="0"/>
          <w:noProof/>
          <w:sz w:val="22"/>
          <w:lang w:val="en-US" w:eastAsia="en-US" w:bidi="ar-SA"/>
        </w:rPr>
      </w:pPr>
      <w:hyperlink w:anchor="_Toc471735653" w:history="1">
        <w:r w:rsidR="000237B7" w:rsidRPr="00A50E57">
          <w:rPr>
            <w:rStyle w:val="Hyperlink"/>
            <w:noProof/>
          </w:rPr>
          <w:t>Licences d’Accès SAL (Subscriber Access License) pour Serveurs de Gestion</w:t>
        </w:r>
        <w:r w:rsidR="000237B7">
          <w:rPr>
            <w:noProof/>
            <w:webHidden/>
          </w:rPr>
          <w:tab/>
        </w:r>
        <w:r w:rsidR="000237B7">
          <w:rPr>
            <w:noProof/>
            <w:webHidden/>
          </w:rPr>
          <w:fldChar w:fldCharType="begin"/>
        </w:r>
        <w:r w:rsidR="000237B7">
          <w:rPr>
            <w:noProof/>
            <w:webHidden/>
          </w:rPr>
          <w:instrText xml:space="preserve"> PAGEREF _Toc471735653 \h </w:instrText>
        </w:r>
        <w:r w:rsidR="000237B7">
          <w:rPr>
            <w:noProof/>
            <w:webHidden/>
          </w:rPr>
        </w:r>
        <w:r w:rsidR="000237B7">
          <w:rPr>
            <w:noProof/>
            <w:webHidden/>
          </w:rPr>
          <w:fldChar w:fldCharType="separate"/>
        </w:r>
        <w:r w:rsidR="000237B7">
          <w:rPr>
            <w:noProof/>
            <w:webHidden/>
          </w:rPr>
          <w:t>8</w:t>
        </w:r>
        <w:r w:rsidR="000237B7">
          <w:rPr>
            <w:noProof/>
            <w:webHidden/>
          </w:rPr>
          <w:fldChar w:fldCharType="end"/>
        </w:r>
      </w:hyperlink>
    </w:p>
    <w:p w14:paraId="53898929" w14:textId="0CD1C3AD" w:rsidR="000237B7" w:rsidRDefault="00913DC6">
      <w:pPr>
        <w:pStyle w:val="TOC4"/>
        <w:tabs>
          <w:tab w:val="right" w:leader="dot" w:pos="5030"/>
        </w:tabs>
        <w:rPr>
          <w:rFonts w:eastAsiaTheme="minorEastAsia"/>
          <w:smallCaps w:val="0"/>
          <w:noProof/>
          <w:sz w:val="22"/>
          <w:lang w:val="en-US" w:eastAsia="en-US" w:bidi="ar-SA"/>
        </w:rPr>
      </w:pPr>
      <w:hyperlink w:anchor="_Toc471735654" w:history="1">
        <w:r w:rsidR="000237B7" w:rsidRPr="00A50E57">
          <w:rPr>
            <w:rStyle w:val="Hyperlink"/>
            <w:noProof/>
          </w:rPr>
          <w:t>Licence d’Accès SAL (Subscriber Access License) pour Applications Bureautiques</w:t>
        </w:r>
        <w:r w:rsidR="000237B7">
          <w:rPr>
            <w:noProof/>
            <w:webHidden/>
          </w:rPr>
          <w:tab/>
        </w:r>
        <w:r w:rsidR="000237B7">
          <w:rPr>
            <w:noProof/>
            <w:webHidden/>
          </w:rPr>
          <w:fldChar w:fldCharType="begin"/>
        </w:r>
        <w:r w:rsidR="000237B7">
          <w:rPr>
            <w:noProof/>
            <w:webHidden/>
          </w:rPr>
          <w:instrText xml:space="preserve"> PAGEREF _Toc471735654 \h </w:instrText>
        </w:r>
        <w:r w:rsidR="000237B7">
          <w:rPr>
            <w:noProof/>
            <w:webHidden/>
          </w:rPr>
        </w:r>
        <w:r w:rsidR="000237B7">
          <w:rPr>
            <w:noProof/>
            <w:webHidden/>
          </w:rPr>
          <w:fldChar w:fldCharType="separate"/>
        </w:r>
        <w:r w:rsidR="000237B7">
          <w:rPr>
            <w:noProof/>
            <w:webHidden/>
          </w:rPr>
          <w:t>9</w:t>
        </w:r>
        <w:r w:rsidR="000237B7">
          <w:rPr>
            <w:noProof/>
            <w:webHidden/>
          </w:rPr>
          <w:fldChar w:fldCharType="end"/>
        </w:r>
      </w:hyperlink>
    </w:p>
    <w:p w14:paraId="5E5FC8AD" w14:textId="5815D92A" w:rsidR="000237B7" w:rsidRDefault="00913DC6">
      <w:pPr>
        <w:pStyle w:val="TOC4"/>
        <w:tabs>
          <w:tab w:val="right" w:leader="dot" w:pos="5030"/>
        </w:tabs>
        <w:rPr>
          <w:rFonts w:eastAsiaTheme="minorEastAsia"/>
          <w:smallCaps w:val="0"/>
          <w:noProof/>
          <w:sz w:val="22"/>
          <w:lang w:val="en-US" w:eastAsia="en-US" w:bidi="ar-SA"/>
        </w:rPr>
      </w:pPr>
      <w:hyperlink w:anchor="_Toc471735655" w:history="1">
        <w:r w:rsidR="000237B7" w:rsidRPr="00A50E57">
          <w:rPr>
            <w:rStyle w:val="Hyperlink"/>
            <w:noProof/>
          </w:rPr>
          <w:t>Hôte/invité</w:t>
        </w:r>
        <w:r w:rsidR="000237B7">
          <w:rPr>
            <w:noProof/>
            <w:webHidden/>
          </w:rPr>
          <w:tab/>
        </w:r>
        <w:r w:rsidR="000237B7">
          <w:rPr>
            <w:noProof/>
            <w:webHidden/>
          </w:rPr>
          <w:fldChar w:fldCharType="begin"/>
        </w:r>
        <w:r w:rsidR="000237B7">
          <w:rPr>
            <w:noProof/>
            <w:webHidden/>
          </w:rPr>
          <w:instrText xml:space="preserve"> PAGEREF _Toc471735655 \h </w:instrText>
        </w:r>
        <w:r w:rsidR="000237B7">
          <w:rPr>
            <w:noProof/>
            <w:webHidden/>
          </w:rPr>
        </w:r>
        <w:r w:rsidR="000237B7">
          <w:rPr>
            <w:noProof/>
            <w:webHidden/>
          </w:rPr>
          <w:fldChar w:fldCharType="separate"/>
        </w:r>
        <w:r w:rsidR="000237B7">
          <w:rPr>
            <w:noProof/>
            <w:webHidden/>
          </w:rPr>
          <w:t>9</w:t>
        </w:r>
        <w:r w:rsidR="000237B7">
          <w:rPr>
            <w:noProof/>
            <w:webHidden/>
          </w:rPr>
          <w:fldChar w:fldCharType="end"/>
        </w:r>
      </w:hyperlink>
    </w:p>
    <w:p w14:paraId="1BA28C70" w14:textId="6DE8D1EC" w:rsidR="000237B7" w:rsidRDefault="00913DC6">
      <w:pPr>
        <w:pStyle w:val="TOC1"/>
        <w:tabs>
          <w:tab w:val="right" w:leader="dot" w:pos="5030"/>
        </w:tabs>
        <w:rPr>
          <w:rFonts w:eastAsiaTheme="minorEastAsia"/>
          <w:b w:val="0"/>
          <w:caps w:val="0"/>
          <w:noProof/>
          <w:sz w:val="22"/>
          <w:lang w:val="en-US" w:eastAsia="en-US" w:bidi="ar-SA"/>
        </w:rPr>
      </w:pPr>
      <w:hyperlink w:anchor="_Toc471735656" w:history="1">
        <w:r w:rsidR="000237B7" w:rsidRPr="00A50E57">
          <w:rPr>
            <w:rStyle w:val="Hyperlink"/>
            <w:noProof/>
          </w:rPr>
          <w:t>Entrées Produit</w:t>
        </w:r>
        <w:r w:rsidR="000237B7">
          <w:rPr>
            <w:noProof/>
            <w:webHidden/>
          </w:rPr>
          <w:tab/>
        </w:r>
        <w:r w:rsidR="000237B7">
          <w:rPr>
            <w:noProof/>
            <w:webHidden/>
          </w:rPr>
          <w:fldChar w:fldCharType="begin"/>
        </w:r>
        <w:r w:rsidR="000237B7">
          <w:rPr>
            <w:noProof/>
            <w:webHidden/>
          </w:rPr>
          <w:instrText xml:space="preserve"> PAGEREF _Toc471735656 \h </w:instrText>
        </w:r>
        <w:r w:rsidR="000237B7">
          <w:rPr>
            <w:noProof/>
            <w:webHidden/>
          </w:rPr>
        </w:r>
        <w:r w:rsidR="000237B7">
          <w:rPr>
            <w:noProof/>
            <w:webHidden/>
          </w:rPr>
          <w:fldChar w:fldCharType="separate"/>
        </w:r>
        <w:r w:rsidR="000237B7">
          <w:rPr>
            <w:noProof/>
            <w:webHidden/>
          </w:rPr>
          <w:t>10</w:t>
        </w:r>
        <w:r w:rsidR="000237B7">
          <w:rPr>
            <w:noProof/>
            <w:webHidden/>
          </w:rPr>
          <w:fldChar w:fldCharType="end"/>
        </w:r>
      </w:hyperlink>
    </w:p>
    <w:p w14:paraId="45F25444" w14:textId="57A0D6FA" w:rsidR="000237B7" w:rsidRDefault="00913DC6">
      <w:pPr>
        <w:pStyle w:val="TOC3"/>
        <w:tabs>
          <w:tab w:val="right" w:leader="dot" w:pos="5030"/>
        </w:tabs>
        <w:rPr>
          <w:rFonts w:eastAsiaTheme="minorEastAsia"/>
          <w:smallCaps w:val="0"/>
          <w:noProof/>
          <w:sz w:val="22"/>
          <w:lang w:val="en-US" w:eastAsia="en-US" w:bidi="ar-SA"/>
        </w:rPr>
      </w:pPr>
      <w:hyperlink w:anchor="_Toc471735657" w:history="1">
        <w:r w:rsidR="000237B7" w:rsidRPr="00A50E57">
          <w:rPr>
            <w:rStyle w:val="Hyperlink"/>
            <w:noProof/>
            <w:lang w:val="en-US"/>
          </w:rPr>
          <w:t>Advanced Threat Analytics</w:t>
        </w:r>
        <w:r w:rsidR="000237B7">
          <w:rPr>
            <w:noProof/>
            <w:webHidden/>
          </w:rPr>
          <w:tab/>
        </w:r>
        <w:r w:rsidR="000237B7">
          <w:rPr>
            <w:noProof/>
            <w:webHidden/>
          </w:rPr>
          <w:fldChar w:fldCharType="begin"/>
        </w:r>
        <w:r w:rsidR="000237B7">
          <w:rPr>
            <w:noProof/>
            <w:webHidden/>
          </w:rPr>
          <w:instrText xml:space="preserve"> PAGEREF _Toc471735657 \h </w:instrText>
        </w:r>
        <w:r w:rsidR="000237B7">
          <w:rPr>
            <w:noProof/>
            <w:webHidden/>
          </w:rPr>
        </w:r>
        <w:r w:rsidR="000237B7">
          <w:rPr>
            <w:noProof/>
            <w:webHidden/>
          </w:rPr>
          <w:fldChar w:fldCharType="separate"/>
        </w:r>
        <w:r w:rsidR="000237B7">
          <w:rPr>
            <w:noProof/>
            <w:webHidden/>
          </w:rPr>
          <w:t>10</w:t>
        </w:r>
        <w:r w:rsidR="000237B7">
          <w:rPr>
            <w:noProof/>
            <w:webHidden/>
          </w:rPr>
          <w:fldChar w:fldCharType="end"/>
        </w:r>
      </w:hyperlink>
    </w:p>
    <w:p w14:paraId="7C979BA7" w14:textId="44943E30" w:rsidR="000237B7" w:rsidRDefault="00913DC6">
      <w:pPr>
        <w:pStyle w:val="TOC3"/>
        <w:tabs>
          <w:tab w:val="right" w:leader="dot" w:pos="5030"/>
        </w:tabs>
        <w:rPr>
          <w:rFonts w:eastAsiaTheme="minorEastAsia"/>
          <w:smallCaps w:val="0"/>
          <w:noProof/>
          <w:sz w:val="22"/>
          <w:lang w:val="en-US" w:eastAsia="en-US" w:bidi="ar-SA"/>
        </w:rPr>
      </w:pPr>
      <w:hyperlink w:anchor="_Toc471735658" w:history="1">
        <w:r w:rsidR="000237B7" w:rsidRPr="00A50E57">
          <w:rPr>
            <w:rStyle w:val="Hyperlink"/>
            <w:noProof/>
          </w:rPr>
          <w:t>BizTalk Server</w:t>
        </w:r>
        <w:r w:rsidR="000237B7">
          <w:rPr>
            <w:noProof/>
            <w:webHidden/>
          </w:rPr>
          <w:tab/>
        </w:r>
        <w:r w:rsidR="000237B7">
          <w:rPr>
            <w:noProof/>
            <w:webHidden/>
          </w:rPr>
          <w:fldChar w:fldCharType="begin"/>
        </w:r>
        <w:r w:rsidR="000237B7">
          <w:rPr>
            <w:noProof/>
            <w:webHidden/>
          </w:rPr>
          <w:instrText xml:space="preserve"> PAGEREF _Toc471735658 \h </w:instrText>
        </w:r>
        <w:r w:rsidR="000237B7">
          <w:rPr>
            <w:noProof/>
            <w:webHidden/>
          </w:rPr>
        </w:r>
        <w:r w:rsidR="000237B7">
          <w:rPr>
            <w:noProof/>
            <w:webHidden/>
          </w:rPr>
          <w:fldChar w:fldCharType="separate"/>
        </w:r>
        <w:r w:rsidR="000237B7">
          <w:rPr>
            <w:noProof/>
            <w:webHidden/>
          </w:rPr>
          <w:t>10</w:t>
        </w:r>
        <w:r w:rsidR="000237B7">
          <w:rPr>
            <w:noProof/>
            <w:webHidden/>
          </w:rPr>
          <w:fldChar w:fldCharType="end"/>
        </w:r>
      </w:hyperlink>
    </w:p>
    <w:p w14:paraId="5F3B4589" w14:textId="117FD32A" w:rsidR="000237B7" w:rsidRDefault="00913DC6">
      <w:pPr>
        <w:pStyle w:val="TOC3"/>
        <w:tabs>
          <w:tab w:val="right" w:leader="dot" w:pos="5030"/>
        </w:tabs>
        <w:rPr>
          <w:rFonts w:eastAsiaTheme="minorEastAsia"/>
          <w:smallCaps w:val="0"/>
          <w:noProof/>
          <w:sz w:val="22"/>
          <w:lang w:val="en-US" w:eastAsia="en-US" w:bidi="ar-SA"/>
        </w:rPr>
      </w:pPr>
      <w:hyperlink w:anchor="_Toc471735659" w:history="1">
        <w:r w:rsidR="000237B7" w:rsidRPr="00A50E57">
          <w:rPr>
            <w:rStyle w:val="Hyperlink"/>
            <w:noProof/>
          </w:rPr>
          <w:t>Core Infrastructure Server (CIS) Suite</w:t>
        </w:r>
        <w:r w:rsidR="000237B7">
          <w:rPr>
            <w:noProof/>
            <w:webHidden/>
          </w:rPr>
          <w:tab/>
        </w:r>
        <w:r w:rsidR="000237B7">
          <w:rPr>
            <w:noProof/>
            <w:webHidden/>
          </w:rPr>
          <w:fldChar w:fldCharType="begin"/>
        </w:r>
        <w:r w:rsidR="000237B7">
          <w:rPr>
            <w:noProof/>
            <w:webHidden/>
          </w:rPr>
          <w:instrText xml:space="preserve"> PAGEREF _Toc471735659 \h </w:instrText>
        </w:r>
        <w:r w:rsidR="000237B7">
          <w:rPr>
            <w:noProof/>
            <w:webHidden/>
          </w:rPr>
        </w:r>
        <w:r w:rsidR="000237B7">
          <w:rPr>
            <w:noProof/>
            <w:webHidden/>
          </w:rPr>
          <w:fldChar w:fldCharType="separate"/>
        </w:r>
        <w:r w:rsidR="000237B7">
          <w:rPr>
            <w:noProof/>
            <w:webHidden/>
          </w:rPr>
          <w:t>11</w:t>
        </w:r>
        <w:r w:rsidR="000237B7">
          <w:rPr>
            <w:noProof/>
            <w:webHidden/>
          </w:rPr>
          <w:fldChar w:fldCharType="end"/>
        </w:r>
      </w:hyperlink>
    </w:p>
    <w:p w14:paraId="7FE779F3" w14:textId="21F0837A" w:rsidR="000237B7" w:rsidRDefault="00913DC6">
      <w:pPr>
        <w:pStyle w:val="TOC2"/>
        <w:rPr>
          <w:rFonts w:eastAsiaTheme="minorEastAsia"/>
          <w:b w:val="0"/>
          <w:smallCaps w:val="0"/>
          <w:noProof/>
          <w:sz w:val="22"/>
          <w:lang w:val="en-US" w:eastAsia="en-US" w:bidi="ar-SA"/>
        </w:rPr>
      </w:pPr>
      <w:hyperlink w:anchor="_Toc471735660" w:history="1">
        <w:r w:rsidR="000237B7" w:rsidRPr="00A50E57">
          <w:rPr>
            <w:rStyle w:val="Hyperlink"/>
            <w:noProof/>
          </w:rPr>
          <w:t>Microsoft Dynamics</w:t>
        </w:r>
        <w:r w:rsidR="000237B7">
          <w:rPr>
            <w:noProof/>
            <w:webHidden/>
          </w:rPr>
          <w:tab/>
        </w:r>
        <w:r w:rsidR="000237B7">
          <w:rPr>
            <w:noProof/>
            <w:webHidden/>
          </w:rPr>
          <w:fldChar w:fldCharType="begin"/>
        </w:r>
        <w:r w:rsidR="000237B7">
          <w:rPr>
            <w:noProof/>
            <w:webHidden/>
          </w:rPr>
          <w:instrText xml:space="preserve"> PAGEREF _Toc471735660 \h </w:instrText>
        </w:r>
        <w:r w:rsidR="000237B7">
          <w:rPr>
            <w:noProof/>
            <w:webHidden/>
          </w:rPr>
        </w:r>
        <w:r w:rsidR="000237B7">
          <w:rPr>
            <w:noProof/>
            <w:webHidden/>
          </w:rPr>
          <w:fldChar w:fldCharType="separate"/>
        </w:r>
        <w:r w:rsidR="000237B7">
          <w:rPr>
            <w:noProof/>
            <w:webHidden/>
          </w:rPr>
          <w:t>12</w:t>
        </w:r>
        <w:r w:rsidR="000237B7">
          <w:rPr>
            <w:noProof/>
            <w:webHidden/>
          </w:rPr>
          <w:fldChar w:fldCharType="end"/>
        </w:r>
      </w:hyperlink>
    </w:p>
    <w:p w14:paraId="6E3E4FAB" w14:textId="7D554474" w:rsidR="000237B7" w:rsidRDefault="00913DC6">
      <w:pPr>
        <w:pStyle w:val="TOC4"/>
        <w:tabs>
          <w:tab w:val="right" w:leader="dot" w:pos="5030"/>
        </w:tabs>
        <w:rPr>
          <w:rFonts w:eastAsiaTheme="minorEastAsia"/>
          <w:smallCaps w:val="0"/>
          <w:noProof/>
          <w:sz w:val="22"/>
          <w:lang w:val="en-US" w:eastAsia="en-US" w:bidi="ar-SA"/>
        </w:rPr>
      </w:pPr>
      <w:hyperlink w:anchor="_Toc471735661" w:history="1">
        <w:r w:rsidR="000237B7" w:rsidRPr="00A50E57">
          <w:rPr>
            <w:rStyle w:val="Hyperlink"/>
            <w:noProof/>
          </w:rPr>
          <w:t>Microsoft Dynamics AX</w:t>
        </w:r>
        <w:r w:rsidR="000237B7">
          <w:rPr>
            <w:noProof/>
            <w:webHidden/>
          </w:rPr>
          <w:tab/>
        </w:r>
        <w:r w:rsidR="000237B7">
          <w:rPr>
            <w:noProof/>
            <w:webHidden/>
          </w:rPr>
          <w:fldChar w:fldCharType="begin"/>
        </w:r>
        <w:r w:rsidR="000237B7">
          <w:rPr>
            <w:noProof/>
            <w:webHidden/>
          </w:rPr>
          <w:instrText xml:space="preserve"> PAGEREF _Toc471735661 \h </w:instrText>
        </w:r>
        <w:r w:rsidR="000237B7">
          <w:rPr>
            <w:noProof/>
            <w:webHidden/>
          </w:rPr>
        </w:r>
        <w:r w:rsidR="000237B7">
          <w:rPr>
            <w:noProof/>
            <w:webHidden/>
          </w:rPr>
          <w:fldChar w:fldCharType="separate"/>
        </w:r>
        <w:r w:rsidR="000237B7">
          <w:rPr>
            <w:noProof/>
            <w:webHidden/>
          </w:rPr>
          <w:t>12</w:t>
        </w:r>
        <w:r w:rsidR="000237B7">
          <w:rPr>
            <w:noProof/>
            <w:webHidden/>
          </w:rPr>
          <w:fldChar w:fldCharType="end"/>
        </w:r>
      </w:hyperlink>
    </w:p>
    <w:p w14:paraId="67833EA4" w14:textId="38A3B22D" w:rsidR="000237B7" w:rsidRDefault="00913DC6">
      <w:pPr>
        <w:pStyle w:val="TOC4"/>
        <w:tabs>
          <w:tab w:val="right" w:leader="dot" w:pos="5030"/>
        </w:tabs>
        <w:rPr>
          <w:rFonts w:eastAsiaTheme="minorEastAsia"/>
          <w:smallCaps w:val="0"/>
          <w:noProof/>
          <w:sz w:val="22"/>
          <w:lang w:val="en-US" w:eastAsia="en-US" w:bidi="ar-SA"/>
        </w:rPr>
      </w:pPr>
      <w:hyperlink w:anchor="_Toc471735662" w:history="1">
        <w:r w:rsidR="000237B7" w:rsidRPr="00A50E57">
          <w:rPr>
            <w:rStyle w:val="Hyperlink"/>
            <w:noProof/>
          </w:rPr>
          <w:t>Microsoft Dynamics 365</w:t>
        </w:r>
        <w:r w:rsidR="000237B7">
          <w:rPr>
            <w:noProof/>
            <w:webHidden/>
          </w:rPr>
          <w:tab/>
        </w:r>
        <w:r w:rsidR="000237B7">
          <w:rPr>
            <w:noProof/>
            <w:webHidden/>
          </w:rPr>
          <w:fldChar w:fldCharType="begin"/>
        </w:r>
        <w:r w:rsidR="000237B7">
          <w:rPr>
            <w:noProof/>
            <w:webHidden/>
          </w:rPr>
          <w:instrText xml:space="preserve"> PAGEREF _Toc471735662 \h </w:instrText>
        </w:r>
        <w:r w:rsidR="000237B7">
          <w:rPr>
            <w:noProof/>
            <w:webHidden/>
          </w:rPr>
        </w:r>
        <w:r w:rsidR="000237B7">
          <w:rPr>
            <w:noProof/>
            <w:webHidden/>
          </w:rPr>
          <w:fldChar w:fldCharType="separate"/>
        </w:r>
        <w:r w:rsidR="000237B7">
          <w:rPr>
            <w:noProof/>
            <w:webHidden/>
          </w:rPr>
          <w:t>13</w:t>
        </w:r>
        <w:r w:rsidR="000237B7">
          <w:rPr>
            <w:noProof/>
            <w:webHidden/>
          </w:rPr>
          <w:fldChar w:fldCharType="end"/>
        </w:r>
      </w:hyperlink>
    </w:p>
    <w:p w14:paraId="31070C98" w14:textId="20C094F1" w:rsidR="000237B7" w:rsidRDefault="00913DC6">
      <w:pPr>
        <w:pStyle w:val="TOC4"/>
        <w:tabs>
          <w:tab w:val="right" w:leader="dot" w:pos="5030"/>
        </w:tabs>
        <w:rPr>
          <w:rFonts w:eastAsiaTheme="minorEastAsia"/>
          <w:smallCaps w:val="0"/>
          <w:noProof/>
          <w:sz w:val="22"/>
          <w:lang w:val="en-US" w:eastAsia="en-US" w:bidi="ar-SA"/>
        </w:rPr>
      </w:pPr>
      <w:hyperlink w:anchor="_Toc471735663" w:history="1">
        <w:r w:rsidR="000237B7" w:rsidRPr="00A50E57">
          <w:rPr>
            <w:rStyle w:val="Hyperlink"/>
            <w:noProof/>
          </w:rPr>
          <w:t>Microsoft Dynamics NAV</w:t>
        </w:r>
        <w:r w:rsidR="000237B7">
          <w:rPr>
            <w:noProof/>
            <w:webHidden/>
          </w:rPr>
          <w:tab/>
        </w:r>
        <w:r w:rsidR="000237B7">
          <w:rPr>
            <w:noProof/>
            <w:webHidden/>
          </w:rPr>
          <w:fldChar w:fldCharType="begin"/>
        </w:r>
        <w:r w:rsidR="000237B7">
          <w:rPr>
            <w:noProof/>
            <w:webHidden/>
          </w:rPr>
          <w:instrText xml:space="preserve"> PAGEREF _Toc471735663 \h </w:instrText>
        </w:r>
        <w:r w:rsidR="000237B7">
          <w:rPr>
            <w:noProof/>
            <w:webHidden/>
          </w:rPr>
        </w:r>
        <w:r w:rsidR="000237B7">
          <w:rPr>
            <w:noProof/>
            <w:webHidden/>
          </w:rPr>
          <w:fldChar w:fldCharType="separate"/>
        </w:r>
        <w:r w:rsidR="000237B7">
          <w:rPr>
            <w:noProof/>
            <w:webHidden/>
          </w:rPr>
          <w:t>14</w:t>
        </w:r>
        <w:r w:rsidR="000237B7">
          <w:rPr>
            <w:noProof/>
            <w:webHidden/>
          </w:rPr>
          <w:fldChar w:fldCharType="end"/>
        </w:r>
      </w:hyperlink>
    </w:p>
    <w:p w14:paraId="767AF616" w14:textId="3DF9F857" w:rsidR="000237B7" w:rsidRDefault="00913DC6">
      <w:pPr>
        <w:pStyle w:val="TOC4"/>
        <w:tabs>
          <w:tab w:val="right" w:leader="dot" w:pos="5030"/>
        </w:tabs>
        <w:rPr>
          <w:rFonts w:eastAsiaTheme="minorEastAsia"/>
          <w:smallCaps w:val="0"/>
          <w:noProof/>
          <w:sz w:val="22"/>
          <w:lang w:val="en-US" w:eastAsia="en-US" w:bidi="ar-SA"/>
        </w:rPr>
      </w:pPr>
      <w:hyperlink w:anchor="_Toc471735664" w:history="1">
        <w:r w:rsidR="000237B7" w:rsidRPr="00A50E57">
          <w:rPr>
            <w:rStyle w:val="Hyperlink"/>
            <w:noProof/>
          </w:rPr>
          <w:t>Microsoft Dynamics GP</w:t>
        </w:r>
        <w:r w:rsidR="000237B7">
          <w:rPr>
            <w:noProof/>
            <w:webHidden/>
          </w:rPr>
          <w:tab/>
        </w:r>
        <w:r w:rsidR="000237B7">
          <w:rPr>
            <w:noProof/>
            <w:webHidden/>
          </w:rPr>
          <w:fldChar w:fldCharType="begin"/>
        </w:r>
        <w:r w:rsidR="000237B7">
          <w:rPr>
            <w:noProof/>
            <w:webHidden/>
          </w:rPr>
          <w:instrText xml:space="preserve"> PAGEREF _Toc471735664 \h </w:instrText>
        </w:r>
        <w:r w:rsidR="000237B7">
          <w:rPr>
            <w:noProof/>
            <w:webHidden/>
          </w:rPr>
        </w:r>
        <w:r w:rsidR="000237B7">
          <w:rPr>
            <w:noProof/>
            <w:webHidden/>
          </w:rPr>
          <w:fldChar w:fldCharType="separate"/>
        </w:r>
        <w:r w:rsidR="000237B7">
          <w:rPr>
            <w:noProof/>
            <w:webHidden/>
          </w:rPr>
          <w:t>15</w:t>
        </w:r>
        <w:r w:rsidR="000237B7">
          <w:rPr>
            <w:noProof/>
            <w:webHidden/>
          </w:rPr>
          <w:fldChar w:fldCharType="end"/>
        </w:r>
      </w:hyperlink>
    </w:p>
    <w:p w14:paraId="663FA625" w14:textId="76C5243E" w:rsidR="000237B7" w:rsidRDefault="00913DC6">
      <w:pPr>
        <w:pStyle w:val="TOC4"/>
        <w:tabs>
          <w:tab w:val="right" w:leader="dot" w:pos="5030"/>
        </w:tabs>
        <w:rPr>
          <w:rFonts w:eastAsiaTheme="minorEastAsia"/>
          <w:smallCaps w:val="0"/>
          <w:noProof/>
          <w:sz w:val="22"/>
          <w:lang w:val="en-US" w:eastAsia="en-US" w:bidi="ar-SA"/>
        </w:rPr>
      </w:pPr>
      <w:hyperlink w:anchor="_Toc471735665" w:history="1">
        <w:r w:rsidR="000237B7" w:rsidRPr="00A50E57">
          <w:rPr>
            <w:rStyle w:val="Hyperlink"/>
            <w:noProof/>
          </w:rPr>
          <w:t>Microsoft Dynamics SL</w:t>
        </w:r>
        <w:r w:rsidR="000237B7">
          <w:rPr>
            <w:noProof/>
            <w:webHidden/>
          </w:rPr>
          <w:tab/>
        </w:r>
        <w:r w:rsidR="000237B7">
          <w:rPr>
            <w:noProof/>
            <w:webHidden/>
          </w:rPr>
          <w:fldChar w:fldCharType="begin"/>
        </w:r>
        <w:r w:rsidR="000237B7">
          <w:rPr>
            <w:noProof/>
            <w:webHidden/>
          </w:rPr>
          <w:instrText xml:space="preserve"> PAGEREF _Toc471735665 \h </w:instrText>
        </w:r>
        <w:r w:rsidR="000237B7">
          <w:rPr>
            <w:noProof/>
            <w:webHidden/>
          </w:rPr>
        </w:r>
        <w:r w:rsidR="000237B7">
          <w:rPr>
            <w:noProof/>
            <w:webHidden/>
          </w:rPr>
          <w:fldChar w:fldCharType="separate"/>
        </w:r>
        <w:r w:rsidR="000237B7">
          <w:rPr>
            <w:noProof/>
            <w:webHidden/>
          </w:rPr>
          <w:t>16</w:t>
        </w:r>
        <w:r w:rsidR="000237B7">
          <w:rPr>
            <w:noProof/>
            <w:webHidden/>
          </w:rPr>
          <w:fldChar w:fldCharType="end"/>
        </w:r>
      </w:hyperlink>
    </w:p>
    <w:p w14:paraId="32D5D8E5" w14:textId="3AFC1516" w:rsidR="000237B7" w:rsidRDefault="000237B7">
      <w:pPr>
        <w:pStyle w:val="TOC2"/>
        <w:rPr>
          <w:rFonts w:eastAsiaTheme="minorEastAsia"/>
          <w:b w:val="0"/>
          <w:smallCaps w:val="0"/>
          <w:noProof/>
          <w:sz w:val="22"/>
          <w:lang w:val="en-US" w:eastAsia="en-US" w:bidi="ar-SA"/>
        </w:rPr>
      </w:pPr>
      <w:r>
        <w:rPr>
          <w:rStyle w:val="Hyperlink"/>
          <w:noProof/>
        </w:rPr>
        <w:br w:type="column"/>
      </w:r>
      <w:hyperlink w:anchor="_Toc471735666" w:history="1">
        <w:r w:rsidRPr="00A50E57">
          <w:rPr>
            <w:rStyle w:val="Hyperlink"/>
            <w:noProof/>
          </w:rPr>
          <w:t>Applications Office</w:t>
        </w:r>
        <w:r>
          <w:rPr>
            <w:noProof/>
            <w:webHidden/>
          </w:rPr>
          <w:tab/>
        </w:r>
        <w:r>
          <w:rPr>
            <w:noProof/>
            <w:webHidden/>
          </w:rPr>
          <w:fldChar w:fldCharType="begin"/>
        </w:r>
        <w:r>
          <w:rPr>
            <w:noProof/>
            <w:webHidden/>
          </w:rPr>
          <w:instrText xml:space="preserve"> PAGEREF _Toc471735666 \h </w:instrText>
        </w:r>
        <w:r>
          <w:rPr>
            <w:noProof/>
            <w:webHidden/>
          </w:rPr>
        </w:r>
        <w:r>
          <w:rPr>
            <w:noProof/>
            <w:webHidden/>
          </w:rPr>
          <w:fldChar w:fldCharType="separate"/>
        </w:r>
        <w:r>
          <w:rPr>
            <w:noProof/>
            <w:webHidden/>
          </w:rPr>
          <w:t>17</w:t>
        </w:r>
        <w:r>
          <w:rPr>
            <w:noProof/>
            <w:webHidden/>
          </w:rPr>
          <w:fldChar w:fldCharType="end"/>
        </w:r>
      </w:hyperlink>
    </w:p>
    <w:p w14:paraId="50EEA1E8" w14:textId="4494AFA8" w:rsidR="000237B7" w:rsidRDefault="00913DC6">
      <w:pPr>
        <w:pStyle w:val="TOC4"/>
        <w:tabs>
          <w:tab w:val="right" w:leader="dot" w:pos="5030"/>
        </w:tabs>
        <w:rPr>
          <w:rFonts w:eastAsiaTheme="minorEastAsia"/>
          <w:smallCaps w:val="0"/>
          <w:noProof/>
          <w:sz w:val="22"/>
          <w:lang w:val="en-US" w:eastAsia="en-US" w:bidi="ar-SA"/>
        </w:rPr>
      </w:pPr>
      <w:hyperlink w:anchor="_Toc471735667" w:history="1">
        <w:r w:rsidR="000237B7" w:rsidRPr="00A50E57">
          <w:rPr>
            <w:rStyle w:val="Hyperlink"/>
            <w:noProof/>
          </w:rPr>
          <w:t>Applications bureautiques Office</w:t>
        </w:r>
        <w:r w:rsidR="000237B7">
          <w:rPr>
            <w:noProof/>
            <w:webHidden/>
          </w:rPr>
          <w:tab/>
        </w:r>
        <w:r w:rsidR="000237B7">
          <w:rPr>
            <w:noProof/>
            <w:webHidden/>
          </w:rPr>
          <w:fldChar w:fldCharType="begin"/>
        </w:r>
        <w:r w:rsidR="000237B7">
          <w:rPr>
            <w:noProof/>
            <w:webHidden/>
          </w:rPr>
          <w:instrText xml:space="preserve"> PAGEREF _Toc471735667 \h </w:instrText>
        </w:r>
        <w:r w:rsidR="000237B7">
          <w:rPr>
            <w:noProof/>
            <w:webHidden/>
          </w:rPr>
        </w:r>
        <w:r w:rsidR="000237B7">
          <w:rPr>
            <w:noProof/>
            <w:webHidden/>
          </w:rPr>
          <w:fldChar w:fldCharType="separate"/>
        </w:r>
        <w:r w:rsidR="000237B7">
          <w:rPr>
            <w:noProof/>
            <w:webHidden/>
          </w:rPr>
          <w:t>17</w:t>
        </w:r>
        <w:r w:rsidR="000237B7">
          <w:rPr>
            <w:noProof/>
            <w:webHidden/>
          </w:rPr>
          <w:fldChar w:fldCharType="end"/>
        </w:r>
      </w:hyperlink>
    </w:p>
    <w:p w14:paraId="6DC61D84" w14:textId="5998C66C" w:rsidR="000237B7" w:rsidRDefault="00913DC6">
      <w:pPr>
        <w:pStyle w:val="TOC4"/>
        <w:tabs>
          <w:tab w:val="right" w:leader="dot" w:pos="5030"/>
        </w:tabs>
        <w:rPr>
          <w:rFonts w:eastAsiaTheme="minorEastAsia"/>
          <w:smallCaps w:val="0"/>
          <w:noProof/>
          <w:sz w:val="22"/>
          <w:lang w:val="en-US" w:eastAsia="en-US" w:bidi="ar-SA"/>
        </w:rPr>
      </w:pPr>
      <w:hyperlink w:anchor="_Toc471735668" w:history="1">
        <w:r w:rsidR="000237B7" w:rsidRPr="00A50E57">
          <w:rPr>
            <w:rStyle w:val="Hyperlink"/>
            <w:noProof/>
          </w:rPr>
          <w:t>Project</w:t>
        </w:r>
        <w:r w:rsidR="000237B7">
          <w:rPr>
            <w:noProof/>
            <w:webHidden/>
          </w:rPr>
          <w:tab/>
        </w:r>
        <w:r w:rsidR="000237B7">
          <w:rPr>
            <w:noProof/>
            <w:webHidden/>
          </w:rPr>
          <w:fldChar w:fldCharType="begin"/>
        </w:r>
        <w:r w:rsidR="000237B7">
          <w:rPr>
            <w:noProof/>
            <w:webHidden/>
          </w:rPr>
          <w:instrText xml:space="preserve"> PAGEREF _Toc471735668 \h </w:instrText>
        </w:r>
        <w:r w:rsidR="000237B7">
          <w:rPr>
            <w:noProof/>
            <w:webHidden/>
          </w:rPr>
        </w:r>
        <w:r w:rsidR="000237B7">
          <w:rPr>
            <w:noProof/>
            <w:webHidden/>
          </w:rPr>
          <w:fldChar w:fldCharType="separate"/>
        </w:r>
        <w:r w:rsidR="000237B7">
          <w:rPr>
            <w:noProof/>
            <w:webHidden/>
          </w:rPr>
          <w:t>17</w:t>
        </w:r>
        <w:r w:rsidR="000237B7">
          <w:rPr>
            <w:noProof/>
            <w:webHidden/>
          </w:rPr>
          <w:fldChar w:fldCharType="end"/>
        </w:r>
      </w:hyperlink>
    </w:p>
    <w:p w14:paraId="646741CB" w14:textId="2B19245A" w:rsidR="000237B7" w:rsidRDefault="00913DC6">
      <w:pPr>
        <w:pStyle w:val="TOC4"/>
        <w:tabs>
          <w:tab w:val="right" w:leader="dot" w:pos="5030"/>
        </w:tabs>
        <w:rPr>
          <w:rFonts w:eastAsiaTheme="minorEastAsia"/>
          <w:smallCaps w:val="0"/>
          <w:noProof/>
          <w:sz w:val="22"/>
          <w:lang w:val="en-US" w:eastAsia="en-US" w:bidi="ar-SA"/>
        </w:rPr>
      </w:pPr>
      <w:hyperlink w:anchor="_Toc471735669" w:history="1">
        <w:r w:rsidR="000237B7" w:rsidRPr="00A50E57">
          <w:rPr>
            <w:rStyle w:val="Hyperlink"/>
            <w:noProof/>
          </w:rPr>
          <w:t>Visio</w:t>
        </w:r>
        <w:r w:rsidR="000237B7">
          <w:rPr>
            <w:noProof/>
            <w:webHidden/>
          </w:rPr>
          <w:tab/>
        </w:r>
        <w:r w:rsidR="000237B7">
          <w:rPr>
            <w:noProof/>
            <w:webHidden/>
          </w:rPr>
          <w:fldChar w:fldCharType="begin"/>
        </w:r>
        <w:r w:rsidR="000237B7">
          <w:rPr>
            <w:noProof/>
            <w:webHidden/>
          </w:rPr>
          <w:instrText xml:space="preserve"> PAGEREF _Toc471735669 \h </w:instrText>
        </w:r>
        <w:r w:rsidR="000237B7">
          <w:rPr>
            <w:noProof/>
            <w:webHidden/>
          </w:rPr>
        </w:r>
        <w:r w:rsidR="000237B7">
          <w:rPr>
            <w:noProof/>
            <w:webHidden/>
          </w:rPr>
          <w:fldChar w:fldCharType="separate"/>
        </w:r>
        <w:r w:rsidR="000237B7">
          <w:rPr>
            <w:noProof/>
            <w:webHidden/>
          </w:rPr>
          <w:t>18</w:t>
        </w:r>
        <w:r w:rsidR="000237B7">
          <w:rPr>
            <w:noProof/>
            <w:webHidden/>
          </w:rPr>
          <w:fldChar w:fldCharType="end"/>
        </w:r>
      </w:hyperlink>
    </w:p>
    <w:p w14:paraId="6853F7DD" w14:textId="3F25975E" w:rsidR="000237B7" w:rsidRDefault="00913DC6">
      <w:pPr>
        <w:pStyle w:val="TOC2"/>
        <w:rPr>
          <w:rFonts w:eastAsiaTheme="minorEastAsia"/>
          <w:b w:val="0"/>
          <w:smallCaps w:val="0"/>
          <w:noProof/>
          <w:sz w:val="22"/>
          <w:lang w:val="en-US" w:eastAsia="en-US" w:bidi="ar-SA"/>
        </w:rPr>
      </w:pPr>
      <w:hyperlink w:anchor="_Toc471735670" w:history="1">
        <w:r w:rsidR="000237B7" w:rsidRPr="00A50E57">
          <w:rPr>
            <w:rStyle w:val="Hyperlink"/>
            <w:noProof/>
          </w:rPr>
          <w:t>Serveurs Office</w:t>
        </w:r>
        <w:r w:rsidR="000237B7">
          <w:rPr>
            <w:noProof/>
            <w:webHidden/>
          </w:rPr>
          <w:tab/>
        </w:r>
        <w:r w:rsidR="000237B7">
          <w:rPr>
            <w:noProof/>
            <w:webHidden/>
          </w:rPr>
          <w:fldChar w:fldCharType="begin"/>
        </w:r>
        <w:r w:rsidR="000237B7">
          <w:rPr>
            <w:noProof/>
            <w:webHidden/>
          </w:rPr>
          <w:instrText xml:space="preserve"> PAGEREF _Toc471735670 \h </w:instrText>
        </w:r>
        <w:r w:rsidR="000237B7">
          <w:rPr>
            <w:noProof/>
            <w:webHidden/>
          </w:rPr>
        </w:r>
        <w:r w:rsidR="000237B7">
          <w:rPr>
            <w:noProof/>
            <w:webHidden/>
          </w:rPr>
          <w:fldChar w:fldCharType="separate"/>
        </w:r>
        <w:r w:rsidR="000237B7">
          <w:rPr>
            <w:noProof/>
            <w:webHidden/>
          </w:rPr>
          <w:t>18</w:t>
        </w:r>
        <w:r w:rsidR="000237B7">
          <w:rPr>
            <w:noProof/>
            <w:webHidden/>
          </w:rPr>
          <w:fldChar w:fldCharType="end"/>
        </w:r>
      </w:hyperlink>
    </w:p>
    <w:p w14:paraId="7858C16F" w14:textId="391AF365" w:rsidR="000237B7" w:rsidRDefault="00913DC6">
      <w:pPr>
        <w:pStyle w:val="TOC4"/>
        <w:tabs>
          <w:tab w:val="right" w:leader="dot" w:pos="5030"/>
        </w:tabs>
        <w:rPr>
          <w:rFonts w:eastAsiaTheme="minorEastAsia"/>
          <w:smallCaps w:val="0"/>
          <w:noProof/>
          <w:sz w:val="22"/>
          <w:lang w:val="en-US" w:eastAsia="en-US" w:bidi="ar-SA"/>
        </w:rPr>
      </w:pPr>
      <w:hyperlink w:anchor="_Toc471735671" w:history="1">
        <w:r w:rsidR="000237B7" w:rsidRPr="00A50E57">
          <w:rPr>
            <w:rStyle w:val="Hyperlink"/>
            <w:noProof/>
            <w:lang w:val="en-US"/>
          </w:rPr>
          <w:t>Exchange Server</w:t>
        </w:r>
        <w:r w:rsidR="000237B7">
          <w:rPr>
            <w:noProof/>
            <w:webHidden/>
          </w:rPr>
          <w:tab/>
        </w:r>
        <w:r w:rsidR="000237B7">
          <w:rPr>
            <w:noProof/>
            <w:webHidden/>
          </w:rPr>
          <w:fldChar w:fldCharType="begin"/>
        </w:r>
        <w:r w:rsidR="000237B7">
          <w:rPr>
            <w:noProof/>
            <w:webHidden/>
          </w:rPr>
          <w:instrText xml:space="preserve"> PAGEREF _Toc471735671 \h </w:instrText>
        </w:r>
        <w:r w:rsidR="000237B7">
          <w:rPr>
            <w:noProof/>
            <w:webHidden/>
          </w:rPr>
        </w:r>
        <w:r w:rsidR="000237B7">
          <w:rPr>
            <w:noProof/>
            <w:webHidden/>
          </w:rPr>
          <w:fldChar w:fldCharType="separate"/>
        </w:r>
        <w:r w:rsidR="000237B7">
          <w:rPr>
            <w:noProof/>
            <w:webHidden/>
          </w:rPr>
          <w:t>18</w:t>
        </w:r>
        <w:r w:rsidR="000237B7">
          <w:rPr>
            <w:noProof/>
            <w:webHidden/>
          </w:rPr>
          <w:fldChar w:fldCharType="end"/>
        </w:r>
      </w:hyperlink>
    </w:p>
    <w:p w14:paraId="0001AB9A" w14:textId="1D15DBB5" w:rsidR="000237B7" w:rsidRDefault="00913DC6">
      <w:pPr>
        <w:pStyle w:val="TOC4"/>
        <w:tabs>
          <w:tab w:val="right" w:leader="dot" w:pos="5030"/>
        </w:tabs>
        <w:rPr>
          <w:rFonts w:eastAsiaTheme="minorEastAsia"/>
          <w:smallCaps w:val="0"/>
          <w:noProof/>
          <w:sz w:val="22"/>
          <w:lang w:val="en-US" w:eastAsia="en-US" w:bidi="ar-SA"/>
        </w:rPr>
      </w:pPr>
      <w:hyperlink w:anchor="_Toc471735672" w:history="1">
        <w:r w:rsidR="000237B7" w:rsidRPr="00A50E57">
          <w:rPr>
            <w:rStyle w:val="Hyperlink"/>
            <w:noProof/>
          </w:rPr>
          <w:t>Project Server</w:t>
        </w:r>
        <w:r w:rsidR="000237B7">
          <w:rPr>
            <w:noProof/>
            <w:webHidden/>
          </w:rPr>
          <w:tab/>
        </w:r>
        <w:r w:rsidR="000237B7">
          <w:rPr>
            <w:noProof/>
            <w:webHidden/>
          </w:rPr>
          <w:fldChar w:fldCharType="begin"/>
        </w:r>
        <w:r w:rsidR="000237B7">
          <w:rPr>
            <w:noProof/>
            <w:webHidden/>
          </w:rPr>
          <w:instrText xml:space="preserve"> PAGEREF _Toc471735672 \h </w:instrText>
        </w:r>
        <w:r w:rsidR="000237B7">
          <w:rPr>
            <w:noProof/>
            <w:webHidden/>
          </w:rPr>
        </w:r>
        <w:r w:rsidR="000237B7">
          <w:rPr>
            <w:noProof/>
            <w:webHidden/>
          </w:rPr>
          <w:fldChar w:fldCharType="separate"/>
        </w:r>
        <w:r w:rsidR="000237B7">
          <w:rPr>
            <w:noProof/>
            <w:webHidden/>
          </w:rPr>
          <w:t>19</w:t>
        </w:r>
        <w:r w:rsidR="000237B7">
          <w:rPr>
            <w:noProof/>
            <w:webHidden/>
          </w:rPr>
          <w:fldChar w:fldCharType="end"/>
        </w:r>
      </w:hyperlink>
    </w:p>
    <w:p w14:paraId="5B20D230" w14:textId="4AC6CBF3" w:rsidR="000237B7" w:rsidRDefault="00913DC6">
      <w:pPr>
        <w:pStyle w:val="TOC4"/>
        <w:tabs>
          <w:tab w:val="right" w:leader="dot" w:pos="5030"/>
        </w:tabs>
        <w:rPr>
          <w:rFonts w:eastAsiaTheme="minorEastAsia"/>
          <w:smallCaps w:val="0"/>
          <w:noProof/>
          <w:sz w:val="22"/>
          <w:lang w:val="en-US" w:eastAsia="en-US" w:bidi="ar-SA"/>
        </w:rPr>
      </w:pPr>
      <w:hyperlink w:anchor="_Toc471735673" w:history="1">
        <w:r w:rsidR="000237B7" w:rsidRPr="00A50E57">
          <w:rPr>
            <w:rStyle w:val="Hyperlink"/>
            <w:noProof/>
          </w:rPr>
          <w:t>SharePoint Server</w:t>
        </w:r>
        <w:r w:rsidR="000237B7">
          <w:rPr>
            <w:noProof/>
            <w:webHidden/>
          </w:rPr>
          <w:tab/>
        </w:r>
        <w:r w:rsidR="000237B7">
          <w:rPr>
            <w:noProof/>
            <w:webHidden/>
          </w:rPr>
          <w:fldChar w:fldCharType="begin"/>
        </w:r>
        <w:r w:rsidR="000237B7">
          <w:rPr>
            <w:noProof/>
            <w:webHidden/>
          </w:rPr>
          <w:instrText xml:space="preserve"> PAGEREF _Toc471735673 \h </w:instrText>
        </w:r>
        <w:r w:rsidR="000237B7">
          <w:rPr>
            <w:noProof/>
            <w:webHidden/>
          </w:rPr>
        </w:r>
        <w:r w:rsidR="000237B7">
          <w:rPr>
            <w:noProof/>
            <w:webHidden/>
          </w:rPr>
          <w:fldChar w:fldCharType="separate"/>
        </w:r>
        <w:r w:rsidR="000237B7">
          <w:rPr>
            <w:noProof/>
            <w:webHidden/>
          </w:rPr>
          <w:t>20</w:t>
        </w:r>
        <w:r w:rsidR="000237B7">
          <w:rPr>
            <w:noProof/>
            <w:webHidden/>
          </w:rPr>
          <w:fldChar w:fldCharType="end"/>
        </w:r>
      </w:hyperlink>
    </w:p>
    <w:p w14:paraId="152C71D4" w14:textId="068F5ED9" w:rsidR="000237B7" w:rsidRDefault="00913DC6">
      <w:pPr>
        <w:pStyle w:val="TOC4"/>
        <w:tabs>
          <w:tab w:val="right" w:leader="dot" w:pos="5030"/>
        </w:tabs>
        <w:rPr>
          <w:rFonts w:eastAsiaTheme="minorEastAsia"/>
          <w:smallCaps w:val="0"/>
          <w:noProof/>
          <w:sz w:val="22"/>
          <w:lang w:val="en-US" w:eastAsia="en-US" w:bidi="ar-SA"/>
        </w:rPr>
      </w:pPr>
      <w:hyperlink w:anchor="_Toc471735674" w:history="1">
        <w:r w:rsidR="000237B7" w:rsidRPr="00A50E57">
          <w:rPr>
            <w:rStyle w:val="Hyperlink"/>
            <w:noProof/>
          </w:rPr>
          <w:t>Skype Entreprise Server</w:t>
        </w:r>
        <w:r w:rsidR="000237B7">
          <w:rPr>
            <w:noProof/>
            <w:webHidden/>
          </w:rPr>
          <w:tab/>
        </w:r>
        <w:r w:rsidR="000237B7">
          <w:rPr>
            <w:noProof/>
            <w:webHidden/>
          </w:rPr>
          <w:fldChar w:fldCharType="begin"/>
        </w:r>
        <w:r w:rsidR="000237B7">
          <w:rPr>
            <w:noProof/>
            <w:webHidden/>
          </w:rPr>
          <w:instrText xml:space="preserve"> PAGEREF _Toc471735674 \h </w:instrText>
        </w:r>
        <w:r w:rsidR="000237B7">
          <w:rPr>
            <w:noProof/>
            <w:webHidden/>
          </w:rPr>
        </w:r>
        <w:r w:rsidR="000237B7">
          <w:rPr>
            <w:noProof/>
            <w:webHidden/>
          </w:rPr>
          <w:fldChar w:fldCharType="separate"/>
        </w:r>
        <w:r w:rsidR="000237B7">
          <w:rPr>
            <w:noProof/>
            <w:webHidden/>
          </w:rPr>
          <w:t>21</w:t>
        </w:r>
        <w:r w:rsidR="000237B7">
          <w:rPr>
            <w:noProof/>
            <w:webHidden/>
          </w:rPr>
          <w:fldChar w:fldCharType="end"/>
        </w:r>
      </w:hyperlink>
    </w:p>
    <w:p w14:paraId="6517930D" w14:textId="2DF594D1" w:rsidR="000237B7" w:rsidRDefault="00913DC6">
      <w:pPr>
        <w:pStyle w:val="TOC3"/>
        <w:tabs>
          <w:tab w:val="right" w:leader="dot" w:pos="5030"/>
        </w:tabs>
        <w:rPr>
          <w:rFonts w:eastAsiaTheme="minorEastAsia"/>
          <w:smallCaps w:val="0"/>
          <w:noProof/>
          <w:sz w:val="22"/>
          <w:lang w:val="en-US" w:eastAsia="en-US" w:bidi="ar-SA"/>
        </w:rPr>
      </w:pPr>
      <w:hyperlink w:anchor="_Toc471735675" w:history="1">
        <w:r w:rsidR="000237B7" w:rsidRPr="00A50E57">
          <w:rPr>
            <w:rStyle w:val="Hyperlink"/>
            <w:noProof/>
          </w:rPr>
          <w:t>R Server</w:t>
        </w:r>
        <w:r w:rsidR="000237B7">
          <w:rPr>
            <w:noProof/>
            <w:webHidden/>
          </w:rPr>
          <w:tab/>
        </w:r>
        <w:r w:rsidR="000237B7">
          <w:rPr>
            <w:noProof/>
            <w:webHidden/>
          </w:rPr>
          <w:fldChar w:fldCharType="begin"/>
        </w:r>
        <w:r w:rsidR="000237B7">
          <w:rPr>
            <w:noProof/>
            <w:webHidden/>
          </w:rPr>
          <w:instrText xml:space="preserve"> PAGEREF _Toc471735675 \h </w:instrText>
        </w:r>
        <w:r w:rsidR="000237B7">
          <w:rPr>
            <w:noProof/>
            <w:webHidden/>
          </w:rPr>
        </w:r>
        <w:r w:rsidR="000237B7">
          <w:rPr>
            <w:noProof/>
            <w:webHidden/>
          </w:rPr>
          <w:fldChar w:fldCharType="separate"/>
        </w:r>
        <w:r w:rsidR="000237B7">
          <w:rPr>
            <w:noProof/>
            <w:webHidden/>
          </w:rPr>
          <w:t>23</w:t>
        </w:r>
        <w:r w:rsidR="000237B7">
          <w:rPr>
            <w:noProof/>
            <w:webHidden/>
          </w:rPr>
          <w:fldChar w:fldCharType="end"/>
        </w:r>
      </w:hyperlink>
    </w:p>
    <w:p w14:paraId="54714D09" w14:textId="05B0ACA6" w:rsidR="000237B7" w:rsidRDefault="00913DC6">
      <w:pPr>
        <w:pStyle w:val="TOC3"/>
        <w:tabs>
          <w:tab w:val="right" w:leader="dot" w:pos="5030"/>
        </w:tabs>
        <w:rPr>
          <w:rFonts w:eastAsiaTheme="minorEastAsia"/>
          <w:smallCaps w:val="0"/>
          <w:noProof/>
          <w:sz w:val="22"/>
          <w:lang w:val="en-US" w:eastAsia="en-US" w:bidi="ar-SA"/>
        </w:rPr>
      </w:pPr>
      <w:hyperlink w:anchor="_Toc471735676" w:history="1">
        <w:r w:rsidR="000237B7" w:rsidRPr="00A50E57">
          <w:rPr>
            <w:rStyle w:val="Hyperlink"/>
            <w:noProof/>
          </w:rPr>
          <w:t>SQL Server</w:t>
        </w:r>
        <w:r w:rsidR="000237B7">
          <w:rPr>
            <w:noProof/>
            <w:webHidden/>
          </w:rPr>
          <w:tab/>
        </w:r>
        <w:r w:rsidR="000237B7">
          <w:rPr>
            <w:noProof/>
            <w:webHidden/>
          </w:rPr>
          <w:fldChar w:fldCharType="begin"/>
        </w:r>
        <w:r w:rsidR="000237B7">
          <w:rPr>
            <w:noProof/>
            <w:webHidden/>
          </w:rPr>
          <w:instrText xml:space="preserve"> PAGEREF _Toc471735676 \h </w:instrText>
        </w:r>
        <w:r w:rsidR="000237B7">
          <w:rPr>
            <w:noProof/>
            <w:webHidden/>
          </w:rPr>
        </w:r>
        <w:r w:rsidR="000237B7">
          <w:rPr>
            <w:noProof/>
            <w:webHidden/>
          </w:rPr>
          <w:fldChar w:fldCharType="separate"/>
        </w:r>
        <w:r w:rsidR="000237B7">
          <w:rPr>
            <w:noProof/>
            <w:webHidden/>
          </w:rPr>
          <w:t>23</w:t>
        </w:r>
        <w:r w:rsidR="000237B7">
          <w:rPr>
            <w:noProof/>
            <w:webHidden/>
          </w:rPr>
          <w:fldChar w:fldCharType="end"/>
        </w:r>
      </w:hyperlink>
    </w:p>
    <w:p w14:paraId="19A54104" w14:textId="268BD11E" w:rsidR="000237B7" w:rsidRDefault="00913DC6">
      <w:pPr>
        <w:pStyle w:val="TOC2"/>
        <w:rPr>
          <w:rFonts w:eastAsiaTheme="minorEastAsia"/>
          <w:b w:val="0"/>
          <w:smallCaps w:val="0"/>
          <w:noProof/>
          <w:sz w:val="22"/>
          <w:lang w:val="en-US" w:eastAsia="en-US" w:bidi="ar-SA"/>
        </w:rPr>
      </w:pPr>
      <w:hyperlink w:anchor="_Toc471735677" w:history="1">
        <w:r w:rsidR="000237B7" w:rsidRPr="00A50E57">
          <w:rPr>
            <w:rStyle w:val="Hyperlink"/>
            <w:noProof/>
          </w:rPr>
          <w:t>Suites</w:t>
        </w:r>
        <w:r w:rsidR="000237B7">
          <w:rPr>
            <w:noProof/>
            <w:webHidden/>
          </w:rPr>
          <w:tab/>
        </w:r>
        <w:r w:rsidR="000237B7">
          <w:rPr>
            <w:noProof/>
            <w:webHidden/>
          </w:rPr>
          <w:fldChar w:fldCharType="begin"/>
        </w:r>
        <w:r w:rsidR="000237B7">
          <w:rPr>
            <w:noProof/>
            <w:webHidden/>
          </w:rPr>
          <w:instrText xml:space="preserve"> PAGEREF _Toc471735677 \h </w:instrText>
        </w:r>
        <w:r w:rsidR="000237B7">
          <w:rPr>
            <w:noProof/>
            <w:webHidden/>
          </w:rPr>
        </w:r>
        <w:r w:rsidR="000237B7">
          <w:rPr>
            <w:noProof/>
            <w:webHidden/>
          </w:rPr>
          <w:fldChar w:fldCharType="separate"/>
        </w:r>
        <w:r w:rsidR="000237B7">
          <w:rPr>
            <w:noProof/>
            <w:webHidden/>
          </w:rPr>
          <w:t>24</w:t>
        </w:r>
        <w:r w:rsidR="000237B7">
          <w:rPr>
            <w:noProof/>
            <w:webHidden/>
          </w:rPr>
          <w:fldChar w:fldCharType="end"/>
        </w:r>
      </w:hyperlink>
    </w:p>
    <w:p w14:paraId="73BBFBC2" w14:textId="558138D3" w:rsidR="000237B7" w:rsidRDefault="00913DC6">
      <w:pPr>
        <w:pStyle w:val="TOC4"/>
        <w:tabs>
          <w:tab w:val="right" w:leader="dot" w:pos="5030"/>
        </w:tabs>
        <w:rPr>
          <w:rFonts w:eastAsiaTheme="minorEastAsia"/>
          <w:smallCaps w:val="0"/>
          <w:noProof/>
          <w:sz w:val="22"/>
          <w:lang w:val="en-US" w:eastAsia="en-US" w:bidi="ar-SA"/>
        </w:rPr>
      </w:pPr>
      <w:hyperlink w:anchor="_Toc471735678" w:history="1">
        <w:r w:rsidR="000237B7" w:rsidRPr="00A50E57">
          <w:rPr>
            <w:rStyle w:val="Hyperlink"/>
            <w:noProof/>
          </w:rPr>
          <w:t>Cloud Platform Suite</w:t>
        </w:r>
        <w:r w:rsidR="000237B7">
          <w:rPr>
            <w:noProof/>
            <w:webHidden/>
          </w:rPr>
          <w:tab/>
        </w:r>
        <w:r w:rsidR="000237B7">
          <w:rPr>
            <w:noProof/>
            <w:webHidden/>
          </w:rPr>
          <w:fldChar w:fldCharType="begin"/>
        </w:r>
        <w:r w:rsidR="000237B7">
          <w:rPr>
            <w:noProof/>
            <w:webHidden/>
          </w:rPr>
          <w:instrText xml:space="preserve"> PAGEREF _Toc471735678 \h </w:instrText>
        </w:r>
        <w:r w:rsidR="000237B7">
          <w:rPr>
            <w:noProof/>
            <w:webHidden/>
          </w:rPr>
        </w:r>
        <w:r w:rsidR="000237B7">
          <w:rPr>
            <w:noProof/>
            <w:webHidden/>
          </w:rPr>
          <w:fldChar w:fldCharType="separate"/>
        </w:r>
        <w:r w:rsidR="000237B7">
          <w:rPr>
            <w:noProof/>
            <w:webHidden/>
          </w:rPr>
          <w:t>24</w:t>
        </w:r>
        <w:r w:rsidR="000237B7">
          <w:rPr>
            <w:noProof/>
            <w:webHidden/>
          </w:rPr>
          <w:fldChar w:fldCharType="end"/>
        </w:r>
      </w:hyperlink>
    </w:p>
    <w:p w14:paraId="0DB6425B" w14:textId="19B5A5FD" w:rsidR="000237B7" w:rsidRDefault="00913DC6">
      <w:pPr>
        <w:pStyle w:val="TOC4"/>
        <w:tabs>
          <w:tab w:val="right" w:leader="dot" w:pos="5030"/>
        </w:tabs>
        <w:rPr>
          <w:rFonts w:eastAsiaTheme="minorEastAsia"/>
          <w:smallCaps w:val="0"/>
          <w:noProof/>
          <w:sz w:val="22"/>
          <w:lang w:val="en-US" w:eastAsia="en-US" w:bidi="ar-SA"/>
        </w:rPr>
      </w:pPr>
      <w:hyperlink w:anchor="_Toc471735679" w:history="1">
        <w:r w:rsidR="000237B7" w:rsidRPr="00A50E57">
          <w:rPr>
            <w:rStyle w:val="Hyperlink"/>
            <w:noProof/>
          </w:rPr>
          <w:t>Productivity Suite</w:t>
        </w:r>
        <w:r w:rsidR="000237B7">
          <w:rPr>
            <w:noProof/>
            <w:webHidden/>
          </w:rPr>
          <w:tab/>
        </w:r>
        <w:r w:rsidR="000237B7">
          <w:rPr>
            <w:noProof/>
            <w:webHidden/>
          </w:rPr>
          <w:fldChar w:fldCharType="begin"/>
        </w:r>
        <w:r w:rsidR="000237B7">
          <w:rPr>
            <w:noProof/>
            <w:webHidden/>
          </w:rPr>
          <w:instrText xml:space="preserve"> PAGEREF _Toc471735679 \h </w:instrText>
        </w:r>
        <w:r w:rsidR="000237B7">
          <w:rPr>
            <w:noProof/>
            <w:webHidden/>
          </w:rPr>
        </w:r>
        <w:r w:rsidR="000237B7">
          <w:rPr>
            <w:noProof/>
            <w:webHidden/>
          </w:rPr>
          <w:fldChar w:fldCharType="separate"/>
        </w:r>
        <w:r w:rsidR="000237B7">
          <w:rPr>
            <w:noProof/>
            <w:webHidden/>
          </w:rPr>
          <w:t>25</w:t>
        </w:r>
        <w:r w:rsidR="000237B7">
          <w:rPr>
            <w:noProof/>
            <w:webHidden/>
          </w:rPr>
          <w:fldChar w:fldCharType="end"/>
        </w:r>
      </w:hyperlink>
    </w:p>
    <w:p w14:paraId="241C60B9" w14:textId="2B9E8F25" w:rsidR="000237B7" w:rsidRDefault="00913DC6">
      <w:pPr>
        <w:pStyle w:val="TOC3"/>
        <w:tabs>
          <w:tab w:val="right" w:leader="dot" w:pos="5030"/>
        </w:tabs>
        <w:rPr>
          <w:rFonts w:eastAsiaTheme="minorEastAsia"/>
          <w:smallCaps w:val="0"/>
          <w:noProof/>
          <w:sz w:val="22"/>
          <w:lang w:val="en-US" w:eastAsia="en-US" w:bidi="ar-SA"/>
        </w:rPr>
      </w:pPr>
      <w:hyperlink w:anchor="_Toc471735680" w:history="1">
        <w:r w:rsidR="000237B7" w:rsidRPr="00A50E57">
          <w:rPr>
            <w:rStyle w:val="Hyperlink"/>
            <w:noProof/>
          </w:rPr>
          <w:t>System Center</w:t>
        </w:r>
        <w:r w:rsidR="000237B7">
          <w:rPr>
            <w:noProof/>
            <w:webHidden/>
          </w:rPr>
          <w:tab/>
        </w:r>
        <w:r w:rsidR="000237B7">
          <w:rPr>
            <w:noProof/>
            <w:webHidden/>
          </w:rPr>
          <w:fldChar w:fldCharType="begin"/>
        </w:r>
        <w:r w:rsidR="000237B7">
          <w:rPr>
            <w:noProof/>
            <w:webHidden/>
          </w:rPr>
          <w:instrText xml:space="preserve"> PAGEREF _Toc471735680 \h </w:instrText>
        </w:r>
        <w:r w:rsidR="000237B7">
          <w:rPr>
            <w:noProof/>
            <w:webHidden/>
          </w:rPr>
        </w:r>
        <w:r w:rsidR="000237B7">
          <w:rPr>
            <w:noProof/>
            <w:webHidden/>
          </w:rPr>
          <w:fldChar w:fldCharType="separate"/>
        </w:r>
        <w:r w:rsidR="000237B7">
          <w:rPr>
            <w:noProof/>
            <w:webHidden/>
          </w:rPr>
          <w:t>25</w:t>
        </w:r>
        <w:r w:rsidR="000237B7">
          <w:rPr>
            <w:noProof/>
            <w:webHidden/>
          </w:rPr>
          <w:fldChar w:fldCharType="end"/>
        </w:r>
      </w:hyperlink>
    </w:p>
    <w:p w14:paraId="6FB74D81" w14:textId="6C031365" w:rsidR="000237B7" w:rsidRDefault="00913DC6">
      <w:pPr>
        <w:pStyle w:val="TOC2"/>
        <w:rPr>
          <w:rFonts w:eastAsiaTheme="minorEastAsia"/>
          <w:b w:val="0"/>
          <w:smallCaps w:val="0"/>
          <w:noProof/>
          <w:sz w:val="22"/>
          <w:lang w:val="en-US" w:eastAsia="en-US" w:bidi="ar-SA"/>
        </w:rPr>
      </w:pPr>
      <w:hyperlink w:anchor="_Toc471735681" w:history="1">
        <w:r w:rsidR="000237B7" w:rsidRPr="00A50E57">
          <w:rPr>
            <w:rStyle w:val="Hyperlink"/>
            <w:noProof/>
          </w:rPr>
          <w:t>Virtualization Hosting</w:t>
        </w:r>
        <w:r w:rsidR="000237B7">
          <w:rPr>
            <w:noProof/>
            <w:webHidden/>
          </w:rPr>
          <w:tab/>
        </w:r>
        <w:r w:rsidR="000237B7">
          <w:rPr>
            <w:noProof/>
            <w:webHidden/>
          </w:rPr>
          <w:fldChar w:fldCharType="begin"/>
        </w:r>
        <w:r w:rsidR="000237B7">
          <w:rPr>
            <w:noProof/>
            <w:webHidden/>
          </w:rPr>
          <w:instrText xml:space="preserve"> PAGEREF _Toc471735681 \h </w:instrText>
        </w:r>
        <w:r w:rsidR="000237B7">
          <w:rPr>
            <w:noProof/>
            <w:webHidden/>
          </w:rPr>
        </w:r>
        <w:r w:rsidR="000237B7">
          <w:rPr>
            <w:noProof/>
            <w:webHidden/>
          </w:rPr>
          <w:fldChar w:fldCharType="separate"/>
        </w:r>
        <w:r w:rsidR="000237B7">
          <w:rPr>
            <w:noProof/>
            <w:webHidden/>
          </w:rPr>
          <w:t>27</w:t>
        </w:r>
        <w:r w:rsidR="000237B7">
          <w:rPr>
            <w:noProof/>
            <w:webHidden/>
          </w:rPr>
          <w:fldChar w:fldCharType="end"/>
        </w:r>
      </w:hyperlink>
    </w:p>
    <w:p w14:paraId="662545D2" w14:textId="62964A74" w:rsidR="000237B7" w:rsidRDefault="00913DC6">
      <w:pPr>
        <w:pStyle w:val="TOC4"/>
        <w:tabs>
          <w:tab w:val="right" w:leader="dot" w:pos="5030"/>
        </w:tabs>
        <w:rPr>
          <w:rFonts w:eastAsiaTheme="minorEastAsia"/>
          <w:smallCaps w:val="0"/>
          <w:noProof/>
          <w:sz w:val="22"/>
          <w:lang w:val="en-US" w:eastAsia="en-US" w:bidi="ar-SA"/>
        </w:rPr>
      </w:pPr>
      <w:hyperlink w:anchor="_Toc471735682" w:history="1">
        <w:r w:rsidR="000237B7" w:rsidRPr="00A50E57">
          <w:rPr>
            <w:rStyle w:val="Hyperlink"/>
            <w:noProof/>
            <w:lang w:val="en-US"/>
          </w:rPr>
          <w:t>Microsoft Application Virtualization Hosting pour Desktop</w:t>
        </w:r>
        <w:r w:rsidR="000237B7">
          <w:rPr>
            <w:noProof/>
            <w:webHidden/>
          </w:rPr>
          <w:tab/>
        </w:r>
        <w:r w:rsidR="000237B7">
          <w:rPr>
            <w:noProof/>
            <w:webHidden/>
          </w:rPr>
          <w:fldChar w:fldCharType="begin"/>
        </w:r>
        <w:r w:rsidR="000237B7">
          <w:rPr>
            <w:noProof/>
            <w:webHidden/>
          </w:rPr>
          <w:instrText xml:space="preserve"> PAGEREF _Toc471735682 \h </w:instrText>
        </w:r>
        <w:r w:rsidR="000237B7">
          <w:rPr>
            <w:noProof/>
            <w:webHidden/>
          </w:rPr>
        </w:r>
        <w:r w:rsidR="000237B7">
          <w:rPr>
            <w:noProof/>
            <w:webHidden/>
          </w:rPr>
          <w:fldChar w:fldCharType="separate"/>
        </w:r>
        <w:r w:rsidR="000237B7">
          <w:rPr>
            <w:noProof/>
            <w:webHidden/>
          </w:rPr>
          <w:t>27</w:t>
        </w:r>
        <w:r w:rsidR="000237B7">
          <w:rPr>
            <w:noProof/>
            <w:webHidden/>
          </w:rPr>
          <w:fldChar w:fldCharType="end"/>
        </w:r>
      </w:hyperlink>
    </w:p>
    <w:p w14:paraId="3EF48226" w14:textId="2B8CFBB2" w:rsidR="000237B7" w:rsidRDefault="00913DC6">
      <w:pPr>
        <w:pStyle w:val="TOC4"/>
        <w:tabs>
          <w:tab w:val="right" w:leader="dot" w:pos="5030"/>
        </w:tabs>
        <w:rPr>
          <w:rFonts w:eastAsiaTheme="minorEastAsia"/>
          <w:smallCaps w:val="0"/>
          <w:noProof/>
          <w:sz w:val="22"/>
          <w:lang w:val="en-US" w:eastAsia="en-US" w:bidi="ar-SA"/>
        </w:rPr>
      </w:pPr>
      <w:hyperlink w:anchor="_Toc471735683" w:history="1">
        <w:r w:rsidR="000237B7" w:rsidRPr="00A50E57">
          <w:rPr>
            <w:rStyle w:val="Hyperlink"/>
            <w:noProof/>
          </w:rPr>
          <w:t>Microsoft User Experience Virtualization Hosting pour Desktops</w:t>
        </w:r>
        <w:r w:rsidR="000237B7">
          <w:rPr>
            <w:noProof/>
            <w:webHidden/>
          </w:rPr>
          <w:tab/>
        </w:r>
        <w:r w:rsidR="000237B7">
          <w:rPr>
            <w:noProof/>
            <w:webHidden/>
          </w:rPr>
          <w:fldChar w:fldCharType="begin"/>
        </w:r>
        <w:r w:rsidR="000237B7">
          <w:rPr>
            <w:noProof/>
            <w:webHidden/>
          </w:rPr>
          <w:instrText xml:space="preserve"> PAGEREF _Toc471735683 \h </w:instrText>
        </w:r>
        <w:r w:rsidR="000237B7">
          <w:rPr>
            <w:noProof/>
            <w:webHidden/>
          </w:rPr>
        </w:r>
        <w:r w:rsidR="000237B7">
          <w:rPr>
            <w:noProof/>
            <w:webHidden/>
          </w:rPr>
          <w:fldChar w:fldCharType="separate"/>
        </w:r>
        <w:r w:rsidR="000237B7">
          <w:rPr>
            <w:noProof/>
            <w:webHidden/>
          </w:rPr>
          <w:t>28</w:t>
        </w:r>
        <w:r w:rsidR="000237B7">
          <w:rPr>
            <w:noProof/>
            <w:webHidden/>
          </w:rPr>
          <w:fldChar w:fldCharType="end"/>
        </w:r>
      </w:hyperlink>
    </w:p>
    <w:p w14:paraId="4531C51F" w14:textId="2D299871" w:rsidR="000237B7" w:rsidRDefault="00913DC6">
      <w:pPr>
        <w:pStyle w:val="TOC2"/>
        <w:rPr>
          <w:rFonts w:eastAsiaTheme="minorEastAsia"/>
          <w:b w:val="0"/>
          <w:smallCaps w:val="0"/>
          <w:noProof/>
          <w:sz w:val="22"/>
          <w:lang w:val="en-US" w:eastAsia="en-US" w:bidi="ar-SA"/>
        </w:rPr>
      </w:pPr>
      <w:hyperlink w:anchor="_Toc471735684" w:history="1">
        <w:r w:rsidR="000237B7" w:rsidRPr="00A50E57">
          <w:rPr>
            <w:rStyle w:val="Hyperlink"/>
            <w:noProof/>
          </w:rPr>
          <w:t>Visual Studio</w:t>
        </w:r>
        <w:r w:rsidR="000237B7">
          <w:rPr>
            <w:noProof/>
            <w:webHidden/>
          </w:rPr>
          <w:tab/>
        </w:r>
        <w:r w:rsidR="000237B7">
          <w:rPr>
            <w:noProof/>
            <w:webHidden/>
          </w:rPr>
          <w:fldChar w:fldCharType="begin"/>
        </w:r>
        <w:r w:rsidR="000237B7">
          <w:rPr>
            <w:noProof/>
            <w:webHidden/>
          </w:rPr>
          <w:instrText xml:space="preserve"> PAGEREF _Toc471735684 \h </w:instrText>
        </w:r>
        <w:r w:rsidR="000237B7">
          <w:rPr>
            <w:noProof/>
            <w:webHidden/>
          </w:rPr>
        </w:r>
        <w:r w:rsidR="000237B7">
          <w:rPr>
            <w:noProof/>
            <w:webHidden/>
          </w:rPr>
          <w:fldChar w:fldCharType="separate"/>
        </w:r>
        <w:r w:rsidR="000237B7">
          <w:rPr>
            <w:noProof/>
            <w:webHidden/>
          </w:rPr>
          <w:t>28</w:t>
        </w:r>
        <w:r w:rsidR="000237B7">
          <w:rPr>
            <w:noProof/>
            <w:webHidden/>
          </w:rPr>
          <w:fldChar w:fldCharType="end"/>
        </w:r>
      </w:hyperlink>
    </w:p>
    <w:p w14:paraId="2163FD85" w14:textId="56292A0B" w:rsidR="000237B7" w:rsidRDefault="00913DC6">
      <w:pPr>
        <w:pStyle w:val="TOC4"/>
        <w:tabs>
          <w:tab w:val="right" w:leader="dot" w:pos="5030"/>
        </w:tabs>
        <w:rPr>
          <w:rFonts w:eastAsiaTheme="minorEastAsia"/>
          <w:smallCaps w:val="0"/>
          <w:noProof/>
          <w:sz w:val="22"/>
          <w:lang w:val="en-US" w:eastAsia="en-US" w:bidi="ar-SA"/>
        </w:rPr>
      </w:pPr>
      <w:hyperlink w:anchor="_Toc471735685" w:history="1">
        <w:r w:rsidR="000237B7" w:rsidRPr="00A50E57">
          <w:rPr>
            <w:rStyle w:val="Hyperlink"/>
            <w:noProof/>
            <w:lang w:val="pt-BR"/>
          </w:rPr>
          <w:t>Visual Studio</w:t>
        </w:r>
        <w:r w:rsidR="000237B7">
          <w:rPr>
            <w:noProof/>
            <w:webHidden/>
          </w:rPr>
          <w:tab/>
        </w:r>
        <w:r w:rsidR="000237B7">
          <w:rPr>
            <w:noProof/>
            <w:webHidden/>
          </w:rPr>
          <w:fldChar w:fldCharType="begin"/>
        </w:r>
        <w:r w:rsidR="000237B7">
          <w:rPr>
            <w:noProof/>
            <w:webHidden/>
          </w:rPr>
          <w:instrText xml:space="preserve"> PAGEREF _Toc471735685 \h </w:instrText>
        </w:r>
        <w:r w:rsidR="000237B7">
          <w:rPr>
            <w:noProof/>
            <w:webHidden/>
          </w:rPr>
        </w:r>
        <w:r w:rsidR="000237B7">
          <w:rPr>
            <w:noProof/>
            <w:webHidden/>
          </w:rPr>
          <w:fldChar w:fldCharType="separate"/>
        </w:r>
        <w:r w:rsidR="000237B7">
          <w:rPr>
            <w:noProof/>
            <w:webHidden/>
          </w:rPr>
          <w:t>28</w:t>
        </w:r>
        <w:r w:rsidR="000237B7">
          <w:rPr>
            <w:noProof/>
            <w:webHidden/>
          </w:rPr>
          <w:fldChar w:fldCharType="end"/>
        </w:r>
      </w:hyperlink>
    </w:p>
    <w:p w14:paraId="1401A731" w14:textId="56CE89C2" w:rsidR="000237B7" w:rsidRDefault="00913DC6">
      <w:pPr>
        <w:pStyle w:val="TOC4"/>
        <w:tabs>
          <w:tab w:val="right" w:leader="dot" w:pos="5030"/>
        </w:tabs>
        <w:rPr>
          <w:rFonts w:eastAsiaTheme="minorEastAsia"/>
          <w:smallCaps w:val="0"/>
          <w:noProof/>
          <w:sz w:val="22"/>
          <w:lang w:val="en-US" w:eastAsia="en-US" w:bidi="ar-SA"/>
        </w:rPr>
      </w:pPr>
      <w:hyperlink w:anchor="_Toc471735686" w:history="1">
        <w:r w:rsidR="000237B7" w:rsidRPr="00A50E57">
          <w:rPr>
            <w:rStyle w:val="Hyperlink"/>
            <w:noProof/>
            <w:lang w:val="en-US"/>
          </w:rPr>
          <w:t>Visual Studio Team Foundation Server avec technologie SQL Server</w:t>
        </w:r>
        <w:r w:rsidR="000237B7">
          <w:rPr>
            <w:noProof/>
            <w:webHidden/>
          </w:rPr>
          <w:tab/>
        </w:r>
        <w:r w:rsidR="000237B7">
          <w:rPr>
            <w:noProof/>
            <w:webHidden/>
          </w:rPr>
          <w:fldChar w:fldCharType="begin"/>
        </w:r>
        <w:r w:rsidR="000237B7">
          <w:rPr>
            <w:noProof/>
            <w:webHidden/>
          </w:rPr>
          <w:instrText xml:space="preserve"> PAGEREF _Toc471735686 \h </w:instrText>
        </w:r>
        <w:r w:rsidR="000237B7">
          <w:rPr>
            <w:noProof/>
            <w:webHidden/>
          </w:rPr>
        </w:r>
        <w:r w:rsidR="000237B7">
          <w:rPr>
            <w:noProof/>
            <w:webHidden/>
          </w:rPr>
          <w:fldChar w:fldCharType="separate"/>
        </w:r>
        <w:r w:rsidR="000237B7">
          <w:rPr>
            <w:noProof/>
            <w:webHidden/>
          </w:rPr>
          <w:t>29</w:t>
        </w:r>
        <w:r w:rsidR="000237B7">
          <w:rPr>
            <w:noProof/>
            <w:webHidden/>
          </w:rPr>
          <w:fldChar w:fldCharType="end"/>
        </w:r>
      </w:hyperlink>
    </w:p>
    <w:p w14:paraId="1E77CE68" w14:textId="4C2CB607" w:rsidR="000237B7" w:rsidRDefault="00913DC6">
      <w:pPr>
        <w:pStyle w:val="TOC3"/>
        <w:tabs>
          <w:tab w:val="right" w:leader="dot" w:pos="5030"/>
        </w:tabs>
        <w:rPr>
          <w:rFonts w:eastAsiaTheme="minorEastAsia"/>
          <w:smallCaps w:val="0"/>
          <w:noProof/>
          <w:sz w:val="22"/>
          <w:lang w:val="en-US" w:eastAsia="en-US" w:bidi="ar-SA"/>
        </w:rPr>
      </w:pPr>
      <w:hyperlink w:anchor="_Toc471735687" w:history="1">
        <w:r w:rsidR="000237B7" w:rsidRPr="00A50E57">
          <w:rPr>
            <w:rStyle w:val="Hyperlink"/>
            <w:noProof/>
            <w:lang w:val="en-US"/>
          </w:rPr>
          <w:t>Windows Server</w:t>
        </w:r>
        <w:r w:rsidR="000237B7">
          <w:rPr>
            <w:noProof/>
            <w:webHidden/>
          </w:rPr>
          <w:tab/>
        </w:r>
        <w:r w:rsidR="000237B7">
          <w:rPr>
            <w:noProof/>
            <w:webHidden/>
          </w:rPr>
          <w:fldChar w:fldCharType="begin"/>
        </w:r>
        <w:r w:rsidR="000237B7">
          <w:rPr>
            <w:noProof/>
            <w:webHidden/>
          </w:rPr>
          <w:instrText xml:space="preserve"> PAGEREF _Toc471735687 \h </w:instrText>
        </w:r>
        <w:r w:rsidR="000237B7">
          <w:rPr>
            <w:noProof/>
            <w:webHidden/>
          </w:rPr>
        </w:r>
        <w:r w:rsidR="000237B7">
          <w:rPr>
            <w:noProof/>
            <w:webHidden/>
          </w:rPr>
          <w:fldChar w:fldCharType="separate"/>
        </w:r>
        <w:r w:rsidR="000237B7">
          <w:rPr>
            <w:noProof/>
            <w:webHidden/>
          </w:rPr>
          <w:t>30</w:t>
        </w:r>
        <w:r w:rsidR="000237B7">
          <w:rPr>
            <w:noProof/>
            <w:webHidden/>
          </w:rPr>
          <w:fldChar w:fldCharType="end"/>
        </w:r>
      </w:hyperlink>
    </w:p>
    <w:p w14:paraId="753629D2" w14:textId="656713E1" w:rsidR="000237B7" w:rsidRDefault="00913DC6">
      <w:pPr>
        <w:pStyle w:val="TOC1"/>
        <w:tabs>
          <w:tab w:val="right" w:leader="dot" w:pos="5030"/>
        </w:tabs>
        <w:rPr>
          <w:rFonts w:eastAsiaTheme="minorEastAsia"/>
          <w:b w:val="0"/>
          <w:caps w:val="0"/>
          <w:noProof/>
          <w:sz w:val="22"/>
          <w:lang w:val="en-US" w:eastAsia="en-US" w:bidi="ar-SA"/>
        </w:rPr>
      </w:pPr>
      <w:hyperlink w:anchor="_Toc471735688" w:history="1">
        <w:r w:rsidR="000237B7" w:rsidRPr="00A50E57">
          <w:rPr>
            <w:rStyle w:val="Hyperlink"/>
            <w:noProof/>
          </w:rPr>
          <w:t>Glossaire</w:t>
        </w:r>
        <w:r w:rsidR="000237B7">
          <w:rPr>
            <w:noProof/>
            <w:webHidden/>
          </w:rPr>
          <w:tab/>
        </w:r>
        <w:r w:rsidR="000237B7">
          <w:rPr>
            <w:noProof/>
            <w:webHidden/>
          </w:rPr>
          <w:fldChar w:fldCharType="begin"/>
        </w:r>
        <w:r w:rsidR="000237B7">
          <w:rPr>
            <w:noProof/>
            <w:webHidden/>
          </w:rPr>
          <w:instrText xml:space="preserve"> PAGEREF _Toc471735688 \h </w:instrText>
        </w:r>
        <w:r w:rsidR="000237B7">
          <w:rPr>
            <w:noProof/>
            <w:webHidden/>
          </w:rPr>
        </w:r>
        <w:r w:rsidR="000237B7">
          <w:rPr>
            <w:noProof/>
            <w:webHidden/>
          </w:rPr>
          <w:fldChar w:fldCharType="separate"/>
        </w:r>
        <w:r w:rsidR="000237B7">
          <w:rPr>
            <w:noProof/>
            <w:webHidden/>
          </w:rPr>
          <w:t>32</w:t>
        </w:r>
        <w:r w:rsidR="000237B7">
          <w:rPr>
            <w:noProof/>
            <w:webHidden/>
          </w:rPr>
          <w:fldChar w:fldCharType="end"/>
        </w:r>
      </w:hyperlink>
    </w:p>
    <w:p w14:paraId="39EF466A" w14:textId="04D60438" w:rsidR="000237B7" w:rsidRDefault="00913DC6">
      <w:pPr>
        <w:pStyle w:val="TOC3"/>
        <w:tabs>
          <w:tab w:val="right" w:leader="dot" w:pos="5030"/>
        </w:tabs>
        <w:rPr>
          <w:rFonts w:eastAsiaTheme="minorEastAsia"/>
          <w:smallCaps w:val="0"/>
          <w:noProof/>
          <w:sz w:val="22"/>
          <w:lang w:val="en-US" w:eastAsia="en-US" w:bidi="ar-SA"/>
        </w:rPr>
      </w:pPr>
      <w:hyperlink w:anchor="_Toc471735689" w:history="1">
        <w:r w:rsidR="000237B7" w:rsidRPr="00A50E57">
          <w:rPr>
            <w:rStyle w:val="Hyperlink"/>
            <w:noProof/>
          </w:rPr>
          <w:t>Attributs</w:t>
        </w:r>
        <w:r w:rsidR="000237B7">
          <w:rPr>
            <w:noProof/>
            <w:webHidden/>
          </w:rPr>
          <w:tab/>
        </w:r>
        <w:r w:rsidR="000237B7">
          <w:rPr>
            <w:noProof/>
            <w:webHidden/>
          </w:rPr>
          <w:fldChar w:fldCharType="begin"/>
        </w:r>
        <w:r w:rsidR="000237B7">
          <w:rPr>
            <w:noProof/>
            <w:webHidden/>
          </w:rPr>
          <w:instrText xml:space="preserve"> PAGEREF _Toc471735689 \h </w:instrText>
        </w:r>
        <w:r w:rsidR="000237B7">
          <w:rPr>
            <w:noProof/>
            <w:webHidden/>
          </w:rPr>
        </w:r>
        <w:r w:rsidR="000237B7">
          <w:rPr>
            <w:noProof/>
            <w:webHidden/>
          </w:rPr>
          <w:fldChar w:fldCharType="separate"/>
        </w:r>
        <w:r w:rsidR="000237B7">
          <w:rPr>
            <w:noProof/>
            <w:webHidden/>
          </w:rPr>
          <w:t>32</w:t>
        </w:r>
        <w:r w:rsidR="000237B7">
          <w:rPr>
            <w:noProof/>
            <w:webHidden/>
          </w:rPr>
          <w:fldChar w:fldCharType="end"/>
        </w:r>
      </w:hyperlink>
    </w:p>
    <w:p w14:paraId="2B6D245B" w14:textId="42C8E370" w:rsidR="000237B7" w:rsidRDefault="00913DC6">
      <w:pPr>
        <w:pStyle w:val="TOC3"/>
        <w:tabs>
          <w:tab w:val="right" w:leader="dot" w:pos="5030"/>
        </w:tabs>
        <w:rPr>
          <w:rFonts w:eastAsiaTheme="minorEastAsia"/>
          <w:smallCaps w:val="0"/>
          <w:noProof/>
          <w:sz w:val="22"/>
          <w:lang w:val="en-US" w:eastAsia="en-US" w:bidi="ar-SA"/>
        </w:rPr>
      </w:pPr>
      <w:hyperlink w:anchor="_Toc471735690" w:history="1">
        <w:r w:rsidR="000237B7" w:rsidRPr="00A50E57">
          <w:rPr>
            <w:rStyle w:val="Hyperlink"/>
            <w:noProof/>
          </w:rPr>
          <w:t>Définitions</w:t>
        </w:r>
        <w:r w:rsidR="000237B7">
          <w:rPr>
            <w:noProof/>
            <w:webHidden/>
          </w:rPr>
          <w:tab/>
        </w:r>
        <w:r w:rsidR="000237B7">
          <w:rPr>
            <w:noProof/>
            <w:webHidden/>
          </w:rPr>
          <w:fldChar w:fldCharType="begin"/>
        </w:r>
        <w:r w:rsidR="000237B7">
          <w:rPr>
            <w:noProof/>
            <w:webHidden/>
          </w:rPr>
          <w:instrText xml:space="preserve"> PAGEREF _Toc471735690 \h </w:instrText>
        </w:r>
        <w:r w:rsidR="000237B7">
          <w:rPr>
            <w:noProof/>
            <w:webHidden/>
          </w:rPr>
        </w:r>
        <w:r w:rsidR="000237B7">
          <w:rPr>
            <w:noProof/>
            <w:webHidden/>
          </w:rPr>
          <w:fldChar w:fldCharType="separate"/>
        </w:r>
        <w:r w:rsidR="000237B7">
          <w:rPr>
            <w:noProof/>
            <w:webHidden/>
          </w:rPr>
          <w:t>32</w:t>
        </w:r>
        <w:r w:rsidR="000237B7">
          <w:rPr>
            <w:noProof/>
            <w:webHidden/>
          </w:rPr>
          <w:fldChar w:fldCharType="end"/>
        </w:r>
      </w:hyperlink>
    </w:p>
    <w:p w14:paraId="1518745A" w14:textId="7FE95651" w:rsidR="000237B7" w:rsidRDefault="00913DC6">
      <w:pPr>
        <w:pStyle w:val="TOC1"/>
        <w:tabs>
          <w:tab w:val="right" w:leader="dot" w:pos="5030"/>
        </w:tabs>
        <w:rPr>
          <w:rFonts w:eastAsiaTheme="minorEastAsia"/>
          <w:b w:val="0"/>
          <w:caps w:val="0"/>
          <w:noProof/>
          <w:sz w:val="22"/>
          <w:lang w:val="en-US" w:eastAsia="en-US" w:bidi="ar-SA"/>
        </w:rPr>
      </w:pPr>
      <w:hyperlink w:anchor="_Toc471735691" w:history="1">
        <w:r w:rsidR="000237B7" w:rsidRPr="00A50E57">
          <w:rPr>
            <w:rStyle w:val="Hyperlink"/>
            <w:noProof/>
            <w:lang w:val="en-US"/>
          </w:rPr>
          <w:t>Index</w:t>
        </w:r>
        <w:r w:rsidR="000237B7">
          <w:rPr>
            <w:noProof/>
            <w:webHidden/>
          </w:rPr>
          <w:tab/>
        </w:r>
        <w:r w:rsidR="000237B7">
          <w:rPr>
            <w:noProof/>
            <w:webHidden/>
          </w:rPr>
          <w:fldChar w:fldCharType="begin"/>
        </w:r>
        <w:r w:rsidR="000237B7">
          <w:rPr>
            <w:noProof/>
            <w:webHidden/>
          </w:rPr>
          <w:instrText xml:space="preserve"> PAGEREF _Toc471735691 \h </w:instrText>
        </w:r>
        <w:r w:rsidR="000237B7">
          <w:rPr>
            <w:noProof/>
            <w:webHidden/>
          </w:rPr>
        </w:r>
        <w:r w:rsidR="000237B7">
          <w:rPr>
            <w:noProof/>
            <w:webHidden/>
          </w:rPr>
          <w:fldChar w:fldCharType="separate"/>
        </w:r>
        <w:r w:rsidR="000237B7">
          <w:rPr>
            <w:noProof/>
            <w:webHidden/>
          </w:rPr>
          <w:t>34</w:t>
        </w:r>
        <w:r w:rsidR="000237B7">
          <w:rPr>
            <w:noProof/>
            <w:webHidden/>
          </w:rPr>
          <w:fldChar w:fldCharType="end"/>
        </w:r>
      </w:hyperlink>
    </w:p>
    <w:p w14:paraId="255FE481" w14:textId="3829FB63"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7173564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7173564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7173564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913DC6"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913DC6"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913DC6"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913DC6"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7173564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71735644"/>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0237B7" w:rsidRPr="00AD6DB4" w14:paraId="6123BBCB" w14:textId="77777777" w:rsidTr="00263B61">
        <w:trPr>
          <w:tblHeader/>
        </w:trPr>
        <w:tc>
          <w:tcPr>
            <w:tcW w:w="5395" w:type="dxa"/>
            <w:shd w:val="clear" w:color="auto" w:fill="0072C6"/>
          </w:tcPr>
          <w:p w14:paraId="7AC46165" w14:textId="77777777" w:rsidR="000237B7" w:rsidRPr="00EF0DA8" w:rsidRDefault="000237B7" w:rsidP="00263B61">
            <w:pPr>
              <w:pStyle w:val="ProductList-OfferingBody"/>
              <w:rPr>
                <w:color w:val="FFFFFF" w:themeColor="background1"/>
              </w:rPr>
            </w:pPr>
            <w:r>
              <w:rPr>
                <w:color w:val="FFFFFF" w:themeColor="background1"/>
              </w:rPr>
              <w:t>Ajouts</w:t>
            </w:r>
          </w:p>
        </w:tc>
        <w:tc>
          <w:tcPr>
            <w:tcW w:w="5395" w:type="dxa"/>
            <w:shd w:val="clear" w:color="auto" w:fill="0072C6"/>
          </w:tcPr>
          <w:p w14:paraId="5AD965D0" w14:textId="77777777" w:rsidR="000237B7" w:rsidRPr="00EF0DA8" w:rsidRDefault="000237B7" w:rsidP="00263B61">
            <w:pPr>
              <w:pStyle w:val="ProductList-OfferingBody"/>
              <w:rPr>
                <w:color w:val="FFFFFF" w:themeColor="background1"/>
              </w:rPr>
            </w:pPr>
            <w:r>
              <w:rPr>
                <w:color w:val="FFFFFF" w:themeColor="background1"/>
              </w:rPr>
              <w:t>Suppressions</w:t>
            </w:r>
          </w:p>
        </w:tc>
      </w:tr>
      <w:tr w:rsidR="000237B7" w:rsidRPr="00AD6DB4" w14:paraId="3ABBD236" w14:textId="77777777" w:rsidTr="00263B61">
        <w:trPr>
          <w:tblHeader/>
        </w:trPr>
        <w:tc>
          <w:tcPr>
            <w:tcW w:w="5395" w:type="dxa"/>
            <w:shd w:val="clear" w:color="auto" w:fill="auto"/>
          </w:tcPr>
          <w:p w14:paraId="32E855C8" w14:textId="77777777" w:rsidR="000237B7" w:rsidRDefault="000237B7" w:rsidP="00263B61">
            <w:pPr>
              <w:pStyle w:val="ProductList-OfferingBody"/>
            </w:pPr>
            <w:r>
              <w:t>Prestataire de Services Microsoft Dynamics 365</w:t>
            </w:r>
          </w:p>
        </w:tc>
        <w:tc>
          <w:tcPr>
            <w:tcW w:w="5395" w:type="dxa"/>
            <w:shd w:val="clear" w:color="auto" w:fill="auto"/>
          </w:tcPr>
          <w:p w14:paraId="162F96E0" w14:textId="77777777" w:rsidR="000237B7" w:rsidRDefault="000237B7" w:rsidP="00263B61">
            <w:pPr>
              <w:pStyle w:val="ProductList-OfferingBody"/>
            </w:pPr>
            <w:r>
              <w:t>Prestataire de Services Microsoft Dynamics CRM 2016</w:t>
            </w:r>
          </w:p>
        </w:tc>
      </w:tr>
    </w:tbl>
    <w:p w14:paraId="527C3C5B" w14:textId="77777777" w:rsidR="000237B7" w:rsidRPr="000237B7" w:rsidRDefault="000237B7" w:rsidP="000237B7">
      <w:pPr>
        <w:pStyle w:val="ProductList-Body"/>
        <w:rPr>
          <w:sz w:val="14"/>
        </w:rPr>
      </w:pPr>
    </w:p>
    <w:p w14:paraId="032447A1" w14:textId="77777777" w:rsidR="000237B7" w:rsidRDefault="000237B7" w:rsidP="000237B7">
      <w:pPr>
        <w:pStyle w:val="ProductList-ClauseHeading"/>
      </w:pPr>
      <w:r>
        <w:t>Entrées Produit</w:t>
      </w:r>
    </w:p>
    <w:p w14:paraId="21DC936D" w14:textId="77777777" w:rsidR="000237B7" w:rsidRDefault="00913DC6" w:rsidP="000237B7">
      <w:pPr>
        <w:pStyle w:val="ProductList-Body"/>
      </w:pPr>
      <w:hyperlink w:anchor="ProductEntries_DynamicsCRM" w:history="1">
        <w:r w:rsidR="000237B7">
          <w:rPr>
            <w:rStyle w:val="Hyperlink"/>
          </w:rPr>
          <w:t>Microsoft Dynamics 365</w:t>
        </w:r>
        <w:r w:rsidR="000237B7" w:rsidRPr="00BA30CA">
          <w:rPr>
            <w:rStyle w:val="Hyperlink"/>
          </w:rPr>
          <w:t> :</w:t>
        </w:r>
      </w:hyperlink>
      <w:r w:rsidR="000237B7">
        <w:t xml:space="preserve"> Microsoft Dynamics CRM a été renommé Microsoft Dynamics 365.</w:t>
      </w:r>
    </w:p>
    <w:p w14:paraId="26108F53" w14:textId="77777777" w:rsidR="000237B7" w:rsidRPr="002706D5" w:rsidRDefault="00913DC6" w:rsidP="000237B7">
      <w:pPr>
        <w:pStyle w:val="ProductList-Body"/>
      </w:pPr>
      <w:hyperlink w:anchor="ProductEntries_VisualStudioTFS" w:history="1">
        <w:r w:rsidR="000237B7">
          <w:rPr>
            <w:rStyle w:val="Hyperlink"/>
          </w:rPr>
          <w:t>Visual Studio Team Foundation Server avec technologie SQL Server</w:t>
        </w:r>
      </w:hyperlink>
      <w:r w:rsidR="000237B7">
        <w:t> : chaque utilisateur pour lequel le Client obtient une SAL Visual Studio Test Professional peut utiliser la fonctionnalité Gestion des tests du logiciel serveur. Visual Studio Team Foundation Server comprend un déploiement simultané à l’aide de la fonctionnalité Gestion des versions, une SAL Visual Studio Entreprise 2015, une souscription Entreprise à Visual Studio et une instance payée de Team Services Build et Release Private Pipeline, chacune offrant un déploiement simultané de la fonctionnalité Gestion des versions.</w:t>
      </w:r>
    </w:p>
    <w:p w14:paraId="4D5F7169" w14:textId="03A7E44A" w:rsidR="00022974" w:rsidRPr="00C3797C" w:rsidRDefault="00913DC6"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7173564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7173564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71735647"/>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71735648"/>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71735649"/>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71735650"/>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71735651"/>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71735652"/>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71735653"/>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71735654"/>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71735655"/>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71735656"/>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71735657"/>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71735658"/>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71735659"/>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lastRenderedPageBreak/>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71735660"/>
      <w:r>
        <w:t>Microsoft Dynamics</w:t>
      </w:r>
      <w:bookmarkEnd w:id="55"/>
      <w:bookmarkEnd w:id="57"/>
    </w:p>
    <w:p w14:paraId="0F0349B9" w14:textId="63B38C77" w:rsidR="00006F3F" w:rsidRPr="00B3420A" w:rsidRDefault="00006F3F" w:rsidP="005D7EF7">
      <w:pPr>
        <w:pStyle w:val="ProductList-Offering2Heading"/>
        <w:outlineLvl w:val="2"/>
      </w:pPr>
      <w:bookmarkStart w:id="58" w:name="_Toc471735661"/>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71735662"/>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2"/>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8C0D8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63B61">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63B61">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63B61">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63B61">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63B61">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63B61">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63B61">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63B61">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63B61">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63B61">
        <w:tc>
          <w:tcPr>
            <w:tcW w:w="3598" w:type="dxa"/>
            <w:tcBorders>
              <w:top w:val="single" w:sz="4" w:space="0" w:color="auto"/>
            </w:tcBorders>
            <w:shd w:val="clear" w:color="auto" w:fill="BFBFBF"/>
          </w:tcPr>
          <w:p w14:paraId="4DD958DC" w14:textId="77777777" w:rsidR="000237B7" w:rsidRPr="0033261A" w:rsidRDefault="000237B7" w:rsidP="00263B61">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63B61">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63B61">
        <w:tc>
          <w:tcPr>
            <w:tcW w:w="3237" w:type="dxa"/>
            <w:tcBorders>
              <w:top w:val="single" w:sz="24" w:space="0" w:color="0072C6"/>
            </w:tcBorders>
            <w:shd w:val="clear" w:color="auto" w:fill="DEEAF6" w:themeFill="accent1" w:themeFillTint="33"/>
          </w:tcPr>
          <w:p w14:paraId="027FD9F1"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63B61">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63B61">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63B61">
        <w:tc>
          <w:tcPr>
            <w:tcW w:w="3237" w:type="dxa"/>
            <w:tcBorders>
              <w:top w:val="single" w:sz="24" w:space="0" w:color="0072C6"/>
            </w:tcBorders>
            <w:shd w:val="clear" w:color="auto" w:fill="DEEAF6" w:themeFill="accent1" w:themeFillTint="33"/>
          </w:tcPr>
          <w:p w14:paraId="6564B55F"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63B61">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63B61">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63B61">
        <w:tc>
          <w:tcPr>
            <w:tcW w:w="3237" w:type="dxa"/>
            <w:tcBorders>
              <w:top w:val="single" w:sz="24" w:space="0" w:color="0072C6"/>
            </w:tcBorders>
            <w:shd w:val="clear" w:color="auto" w:fill="DEEAF6" w:themeFill="accent1" w:themeFillTint="33"/>
          </w:tcPr>
          <w:p w14:paraId="4C428E72"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63B61">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63B61">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lastRenderedPageBreak/>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71735663"/>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lastRenderedPageBreak/>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71735664"/>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913DC6"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71735665"/>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lastRenderedPageBreak/>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71735666"/>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71735667"/>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913DC6"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5" w:name="_Toc471735668"/>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lastRenderedPageBreak/>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71735669"/>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71735670"/>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71735671"/>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 xml:space="preserve">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w:t>
      </w:r>
      <w:r>
        <w:lastRenderedPageBreak/>
        <w:t>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80" w:name="_Toc471735672"/>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lastRenderedPageBreak/>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71735673"/>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71735674"/>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66A07CC" w14:textId="65559986" w:rsidR="000237B7" w:rsidRDefault="000237B7" w:rsidP="000237B7">
      <w:pPr>
        <w:pStyle w:val="ProductList-Body"/>
      </w:pPr>
      <w:bookmarkStart w:id="84" w:name="_Toc451950564"/>
      <w:bookmarkStart w:id="85" w:name="ProductEntries_SQL"/>
      <w:bookmarkStart w:id="86" w:name="_Toc449510050"/>
      <w:bookmarkStart w:id="87" w:name="_Toc441751239"/>
    </w:p>
    <w:p w14:paraId="1FEF950E" w14:textId="77777777" w:rsidR="000237B7" w:rsidRDefault="000237B7" w:rsidP="000237B7">
      <w:pPr>
        <w:pStyle w:val="ProductList-Body"/>
      </w:pPr>
    </w:p>
    <w:p w14:paraId="3257A53D" w14:textId="77777777" w:rsidR="000237B7" w:rsidRDefault="000237B7" w:rsidP="000237B7">
      <w:pPr>
        <w:pStyle w:val="ProductList-Body"/>
      </w:pPr>
    </w:p>
    <w:p w14:paraId="7A78B1DA" w14:textId="05E4B746" w:rsidR="00192E7B" w:rsidRPr="006F7858" w:rsidRDefault="00192E7B" w:rsidP="00192E7B">
      <w:pPr>
        <w:pStyle w:val="ProductList-Offering1Heading"/>
        <w:tabs>
          <w:tab w:val="clear" w:pos="187"/>
          <w:tab w:val="clear" w:pos="360"/>
          <w:tab w:val="clear" w:pos="720"/>
          <w:tab w:val="clear" w:pos="1080"/>
        </w:tabs>
        <w:outlineLvl w:val="1"/>
      </w:pPr>
      <w:bookmarkStart w:id="88" w:name="_Toc471735675"/>
      <w:r>
        <w:lastRenderedPageBreak/>
        <w:t>R Server</w:t>
      </w:r>
      <w:bookmarkEnd w:id="84"/>
      <w:bookmarkEnd w:id="88"/>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3"/>
          <w:type w:val="continuous"/>
          <w:pgSz w:w="12240" w:h="15840"/>
          <w:pgMar w:top="1166" w:right="720" w:bottom="720" w:left="720" w:header="720" w:footer="720" w:gutter="0"/>
          <w:cols w:space="720"/>
          <w:titlePg/>
          <w:docGrid w:linePitch="360"/>
        </w:sectPr>
      </w:pPr>
    </w:p>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944F69">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296A957F" w14:textId="77777777" w:rsidR="00192E7B" w:rsidRPr="006F7858" w:rsidRDefault="00913DC6"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9" w:name="_Toc471735676"/>
      <w:r>
        <w:t>SQL Server</w:t>
      </w:r>
      <w:bookmarkEnd w:id="85"/>
      <w:bookmarkEnd w:id="86"/>
      <w:bookmarkEnd w:id="87"/>
      <w:bookmarkEnd w:id="89"/>
    </w:p>
    <w:p w14:paraId="12B33BCE" w14:textId="77777777" w:rsidR="00E1433B" w:rsidRDefault="00E1433B" w:rsidP="00E1433B">
      <w:pPr>
        <w:spacing w:after="0" w:line="240" w:lineRule="auto"/>
        <w:rPr>
          <w:sz w:val="18"/>
          <w:szCs w:val="18"/>
        </w:rPr>
        <w:sectPr w:rsidR="00E1433B" w:rsidSect="00944F69">
          <w:footerReference w:type="first" r:id="rId44"/>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lastRenderedPageBreak/>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90" w:name="_Toc471735677"/>
      <w:r>
        <w:t>Suites</w:t>
      </w:r>
      <w:bookmarkEnd w:id="90"/>
    </w:p>
    <w:p w14:paraId="28EE1939" w14:textId="0EAFD265" w:rsidR="002E331D" w:rsidRPr="00B3420A" w:rsidRDefault="002E331D" w:rsidP="002E331D">
      <w:pPr>
        <w:pStyle w:val="ProductList-Offering2Heading"/>
        <w:outlineLvl w:val="2"/>
      </w:pPr>
      <w:bookmarkStart w:id="91" w:name="_Toc471735678"/>
      <w:r>
        <w:t>Cloud Platform Suite</w:t>
      </w:r>
      <w:bookmarkEnd w:id="91"/>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2" w:name="_Toc471735679"/>
      <w:r>
        <w:t>Productivity Suite</w:t>
      </w:r>
      <w:bookmarkEnd w:id="92"/>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3" w:name="ProductEntries_SystemCenter"/>
      <w:bookmarkStart w:id="94" w:name="_Toc460924313"/>
      <w:bookmarkStart w:id="95" w:name="_Toc451950569"/>
      <w:bookmarkStart w:id="96" w:name="_Toc471735680"/>
      <w:bookmarkStart w:id="97" w:name="_Sec617"/>
      <w:r>
        <w:t>System Center</w:t>
      </w:r>
      <w:bookmarkEnd w:id="93"/>
      <w:bookmarkEnd w:id="94"/>
      <w:bookmarkEnd w:id="95"/>
      <w:bookmarkEnd w:id="96"/>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lastRenderedPageBreak/>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43263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43263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43263B">
      <w:pPr>
        <w:pStyle w:val="ProductList-Body"/>
      </w:pPr>
    </w:p>
    <w:p w14:paraId="72B8B82C" w14:textId="77777777" w:rsidR="00D43E7A" w:rsidRPr="009A1A5B" w:rsidRDefault="00D43E7A" w:rsidP="0043263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43263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43263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63B61">
        <w:tc>
          <w:tcPr>
            <w:tcW w:w="3600" w:type="dxa"/>
            <w:tcBorders>
              <w:top w:val="single" w:sz="24" w:space="0" w:color="0072C6"/>
            </w:tcBorders>
            <w:shd w:val="clear" w:color="auto" w:fill="DEEAF6" w:themeFill="accent1" w:themeFillTint="33"/>
          </w:tcPr>
          <w:p w14:paraId="72BD4E3E"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63B61">
            <w:pPr>
              <w:pStyle w:val="ProductList-Offering"/>
              <w:tabs>
                <w:tab w:val="clear" w:pos="360"/>
                <w:tab w:val="clear" w:pos="720"/>
                <w:tab w:val="clear" w:pos="1080"/>
              </w:tabs>
              <w:spacing w:before="40" w:after="40"/>
            </w:pPr>
          </w:p>
        </w:tc>
      </w:tr>
    </w:tbl>
    <w:p w14:paraId="06A75530" w14:textId="77777777" w:rsidR="00D43E7A" w:rsidRPr="009A1A5B" w:rsidRDefault="00D43E7A" w:rsidP="0043263B">
      <w:pPr>
        <w:spacing w:after="0" w:line="240" w:lineRule="auto"/>
      </w:pPr>
    </w:p>
    <w:p w14:paraId="5C7BCC5B" w14:textId="77777777" w:rsidR="00D43E7A" w:rsidRPr="009A1A5B" w:rsidRDefault="00D43E7A" w:rsidP="0043263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43263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43263B">
      <w:pPr>
        <w:pStyle w:val="ProductList-Body"/>
        <w:tabs>
          <w:tab w:val="clear" w:pos="360"/>
          <w:tab w:val="clear" w:pos="720"/>
          <w:tab w:val="clear" w:pos="1080"/>
        </w:tabs>
      </w:pPr>
    </w:p>
    <w:p w14:paraId="68420961" w14:textId="29512922" w:rsidR="00D43E7A" w:rsidRPr="009A1A5B" w:rsidRDefault="00D43E7A" w:rsidP="0043263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43263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43263B">
      <w:pPr>
        <w:pStyle w:val="ProductList-ClauseHeading"/>
      </w:pPr>
    </w:p>
    <w:p w14:paraId="485241E7" w14:textId="5DFF6C8A" w:rsidR="00D43E7A" w:rsidRPr="009A1A5B" w:rsidRDefault="00D43E7A" w:rsidP="0043263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43263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43263B">
      <w:pPr>
        <w:pStyle w:val="ProductList-ClauseHeading"/>
      </w:pPr>
    </w:p>
    <w:p w14:paraId="49955061" w14:textId="0161F65C" w:rsidR="00D43E7A" w:rsidRPr="009A1A5B" w:rsidRDefault="00D43E7A" w:rsidP="0043263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43263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43263B">
      <w:pPr>
        <w:pStyle w:val="ProductList-Body"/>
        <w:tabs>
          <w:tab w:val="clear" w:pos="360"/>
          <w:tab w:val="clear" w:pos="720"/>
          <w:tab w:val="clear" w:pos="1080"/>
        </w:tabs>
      </w:pPr>
    </w:p>
    <w:p w14:paraId="5CBE915D" w14:textId="77777777" w:rsidR="00D43E7A" w:rsidRPr="009A1A5B" w:rsidRDefault="00D43E7A" w:rsidP="0043263B">
      <w:pPr>
        <w:pStyle w:val="ProductList-ClauseHeading"/>
      </w:pPr>
      <w:r>
        <w:t>12. Technologie SQL Server</w:t>
      </w:r>
    </w:p>
    <w:p w14:paraId="15DB93A0" w14:textId="77777777" w:rsidR="00D43E7A" w:rsidRPr="009A1A5B" w:rsidRDefault="00D43E7A" w:rsidP="0043263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43263B">
      <w:pPr>
        <w:pStyle w:val="ProductList-Body"/>
        <w:ind w:left="360" w:hanging="90"/>
      </w:pPr>
    </w:p>
    <w:p w14:paraId="5B8AE42F" w14:textId="79184F88" w:rsidR="00D43E7A" w:rsidRPr="009A1A5B" w:rsidRDefault="00D43E7A" w:rsidP="0043263B">
      <w:pPr>
        <w:pStyle w:val="ProductList-ClauseHeading"/>
      </w:pPr>
      <w:r>
        <w:t>13. Substitution de moteurs d’analyse – System Center Endpoint Protection</w:t>
      </w:r>
    </w:p>
    <w:p w14:paraId="7A60CB31" w14:textId="77777777" w:rsidR="00D43E7A" w:rsidRPr="009A1A5B" w:rsidRDefault="00D43E7A" w:rsidP="0043263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43263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lastRenderedPageBreak/>
        <w:t>14. Logiciel Client</w:t>
      </w:r>
    </w:p>
    <w:p w14:paraId="5027D976" w14:textId="77777777" w:rsidR="00D43E7A" w:rsidRPr="009A1A5B" w:rsidRDefault="00D43E7A" w:rsidP="0043263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8" w:name="_Toc471735681"/>
      <w:r>
        <w:t>Virtualization Hosting</w:t>
      </w:r>
      <w:bookmarkEnd w:id="98"/>
    </w:p>
    <w:p w14:paraId="6978988D" w14:textId="0F754AA6" w:rsidR="00C94A25" w:rsidRPr="0038264A" w:rsidRDefault="00C94A25" w:rsidP="009262D5">
      <w:pPr>
        <w:pStyle w:val="ProductList-Offering2Heading"/>
        <w:outlineLvl w:val="2"/>
        <w:rPr>
          <w:lang w:val="en-US"/>
        </w:rPr>
      </w:pPr>
      <w:bookmarkStart w:id="99" w:name="_Toc471735682"/>
      <w:r w:rsidRPr="0038264A">
        <w:rPr>
          <w:lang w:val="en-US"/>
        </w:rPr>
        <w:t>Microsoft Application Virtualization Hosting pour Desktop</w:t>
      </w:r>
      <w:bookmarkEnd w:id="99"/>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100" w:name="_Toc471735683"/>
      <w:r>
        <w:lastRenderedPageBreak/>
        <w:t>Microsoft User Experience Virtualization Hosting pour Desktops</w:t>
      </w:r>
      <w:bookmarkEnd w:id="100"/>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1" w:name="_Toc433614812"/>
    <w:bookmarkEnd w:id="97"/>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2" w:name="_Toc471735684"/>
      <w:r>
        <w:t>Visual Studio</w:t>
      </w:r>
      <w:bookmarkEnd w:id="101"/>
      <w:bookmarkEnd w:id="102"/>
    </w:p>
    <w:p w14:paraId="0812115E" w14:textId="230D1CAB" w:rsidR="00AC63E0" w:rsidRPr="0038264A" w:rsidRDefault="0051609C" w:rsidP="00474818">
      <w:pPr>
        <w:pStyle w:val="ProductList-Offering2Heading"/>
        <w:outlineLvl w:val="2"/>
        <w:rPr>
          <w:lang w:val="pt-BR"/>
        </w:rPr>
      </w:pPr>
      <w:bookmarkStart w:id="103" w:name="_Toc433614813"/>
      <w:bookmarkStart w:id="104" w:name="_Toc471735685"/>
      <w:r w:rsidRPr="0038264A">
        <w:rPr>
          <w:lang w:val="pt-BR"/>
        </w:rPr>
        <w:t>Visual Studio</w:t>
      </w:r>
      <w:bookmarkEnd w:id="103"/>
      <w:bookmarkEnd w:id="104"/>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lastRenderedPageBreak/>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5" w:name="_Toc471735686"/>
      <w:r w:rsidRPr="00192E7B">
        <w:rPr>
          <w:lang w:val="en-US"/>
        </w:rPr>
        <w:t>Visual Studio Team Foundation Server avec technologie SQL Server</w:t>
      </w:r>
      <w:bookmarkEnd w:id="105"/>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31B7E9C7" w:rsidR="00AC63E0" w:rsidRPr="00292A60" w:rsidRDefault="00AC63E0" w:rsidP="000237B7">
            <w:pPr>
              <w:pStyle w:val="ProductList-Offering"/>
              <w:tabs>
                <w:tab w:val="clear" w:pos="360"/>
                <w:tab w:val="clear" w:pos="720"/>
                <w:tab w:val="clear" w:pos="1080"/>
              </w:tabs>
              <w:spacing w:before="40" w:after="40"/>
            </w:pPr>
            <w:r>
              <w:t>SAL (utilisateur) Visual Studio Test Professional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6CDC00E4" w14:textId="77777777" w:rsidR="000237B7" w:rsidRDefault="000237B7" w:rsidP="000237B7">
      <w:pPr>
        <w:pStyle w:val="ProductList-ClauseHeading"/>
        <w:tabs>
          <w:tab w:val="clear" w:pos="360"/>
          <w:tab w:val="clear" w:pos="720"/>
          <w:tab w:val="clear" w:pos="1080"/>
        </w:tabs>
      </w:pPr>
      <w:r>
        <w:t>2. Restrictions d’utilisation des SAL pour Visual Studio Entreprise 2015</w:t>
      </w:r>
      <w:r>
        <w:fldChar w:fldCharType="begin"/>
      </w:r>
      <w:r>
        <w:instrText>XE "Visual Studio Entreprise 2015"</w:instrText>
      </w:r>
      <w:r>
        <w:fldChar w:fldCharType="end"/>
      </w:r>
      <w:r>
        <w:t xml:space="preserve"> et Visual Studio Test Professional 2015</w:t>
      </w:r>
    </w:p>
    <w:p w14:paraId="4F1B22B6" w14:textId="77777777" w:rsidR="000237B7" w:rsidRDefault="000237B7" w:rsidP="000237B7">
      <w:pPr>
        <w:pStyle w:val="ProductList-Body"/>
      </w:pPr>
      <w:r>
        <w:t>Chaque utilisateur pour lequel le Client obtient une SAL Visual Studio Entreprise 2015</w:t>
      </w:r>
      <w:r>
        <w:fldChar w:fldCharType="begin"/>
      </w:r>
      <w:r>
        <w:instrText>XE "Visual Studio Entreprise 2015"</w:instrText>
      </w:r>
      <w:r>
        <w:fldChar w:fldCharType="end"/>
      </w:r>
      <w:r>
        <w:t xml:space="preserve"> peut utiliser les fonctionnalités suivantes du logiciel serveur : Gestion des tests et Gestion des packages. Chaque utilisateur pour lequel le Client obtient une SAL Visual Studio Test Professional peut utiliser la fonctionnalité suivante du logiciel serveur : Gestion de test</w:t>
      </w:r>
    </w:p>
    <w:p w14:paraId="5F0F91EF" w14:textId="77777777" w:rsidR="000237B7" w:rsidRDefault="000237B7" w:rsidP="000237B7">
      <w:pPr>
        <w:pStyle w:val="ProductList-ClauseHeading"/>
        <w:tabs>
          <w:tab w:val="clear" w:pos="360"/>
          <w:tab w:val="clear" w:pos="720"/>
          <w:tab w:val="clear" w:pos="1080"/>
        </w:tabs>
      </w:pPr>
    </w:p>
    <w:p w14:paraId="735E544A" w14:textId="77777777" w:rsidR="000237B7" w:rsidRDefault="000237B7" w:rsidP="000237B7">
      <w:pPr>
        <w:pStyle w:val="ProductList-ClauseHeading"/>
        <w:tabs>
          <w:tab w:val="clear" w:pos="360"/>
          <w:tab w:val="clear" w:pos="720"/>
          <w:tab w:val="clear" w:pos="1080"/>
        </w:tabs>
      </w:pPr>
      <w:r>
        <w:t>3. Stipulation concernant la SAL</w:t>
      </w:r>
    </w:p>
    <w:p w14:paraId="04D48C41" w14:textId="25E4B29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 via un proxy Team Foundation Server 2017 et d’approuver les étapes d’un flux de gestion des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77777777" w:rsidR="000237B7" w:rsidRDefault="000237B7" w:rsidP="000237B7">
      <w:pPr>
        <w:pStyle w:val="ProductList-ClauseHeading"/>
      </w:pPr>
      <w:r>
        <w:t xml:space="preserve">6.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7777777" w:rsidR="000237B7" w:rsidRDefault="000237B7" w:rsidP="000237B7">
      <w:pPr>
        <w:pStyle w:val="ProductList-Body"/>
        <w:ind w:left="360"/>
      </w:pPr>
      <w:r>
        <w:lastRenderedPageBreak/>
        <w:t>•</w:t>
      </w:r>
      <w:r>
        <w:tab/>
        <w:t xml:space="preserve">SAL Visual Studio Entreprise 2015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3EB24F61" w:rsidR="00AC63E0" w:rsidRPr="00B3420A" w:rsidRDefault="000237B7" w:rsidP="00AC63E0">
      <w:pPr>
        <w:pStyle w:val="ProductList-ClauseHeading"/>
        <w:tabs>
          <w:tab w:val="clear" w:pos="360"/>
          <w:tab w:val="clear" w:pos="720"/>
          <w:tab w:val="clear" w:pos="1080"/>
        </w:tabs>
      </w:pPr>
      <w:r>
        <w:t xml:space="preserve">7.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913DC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0D5225D3"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471735687"/>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913DC6"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471735688"/>
      <w:bookmarkEnd w:id="12"/>
      <w:bookmarkEnd w:id="13"/>
      <w:bookmarkEnd w:id="110"/>
      <w:r>
        <w:lastRenderedPageBreak/>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71735689"/>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471735690"/>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913DC6"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471735691"/>
      <w:bookmarkStart w:id="116" w:name="Index"/>
      <w:r w:rsidRPr="0038264A">
        <w:rPr>
          <w:lang w:val="en-US"/>
        </w:rPr>
        <w:lastRenderedPageBreak/>
        <w:t>Index</w:t>
      </w:r>
      <w:bookmarkEnd w:id="115"/>
    </w:p>
    <w:bookmarkEnd w:id="116"/>
    <w:p w14:paraId="214E8632" w14:textId="77777777" w:rsidR="000237B7" w:rsidRDefault="00424F9E" w:rsidP="002024BF">
      <w:pPr>
        <w:pStyle w:val="ProductList-Body"/>
        <w:tabs>
          <w:tab w:val="clear" w:pos="360"/>
          <w:tab w:val="clear" w:pos="720"/>
          <w:tab w:val="clear" w:pos="1080"/>
        </w:tabs>
        <w:rPr>
          <w:noProof/>
        </w:rPr>
        <w:sectPr w:rsidR="000237B7" w:rsidSect="000237B7">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C7F0361" w14:textId="77777777" w:rsidR="000237B7" w:rsidRDefault="000237B7">
      <w:pPr>
        <w:pStyle w:val="Index1"/>
        <w:tabs>
          <w:tab w:val="right" w:leader="dot" w:pos="5030"/>
        </w:tabs>
        <w:rPr>
          <w:noProof/>
        </w:rPr>
      </w:pPr>
      <w:r>
        <w:rPr>
          <w:noProof/>
        </w:rPr>
        <w:t>Advanced Threat Analytics 2016, 10</w:t>
      </w:r>
    </w:p>
    <w:p w14:paraId="0FB18A91" w14:textId="77777777" w:rsidR="000237B7" w:rsidRDefault="000237B7">
      <w:pPr>
        <w:pStyle w:val="Index1"/>
        <w:tabs>
          <w:tab w:val="right" w:leader="dot" w:pos="5030"/>
        </w:tabs>
        <w:rPr>
          <w:noProof/>
        </w:rPr>
      </w:pPr>
      <w:r>
        <w:rPr>
          <w:noProof/>
        </w:rPr>
        <w:t>BizTalk Server 2013 R2, 10</w:t>
      </w:r>
    </w:p>
    <w:p w14:paraId="291D867D" w14:textId="77777777" w:rsidR="000237B7" w:rsidRDefault="000237B7">
      <w:pPr>
        <w:pStyle w:val="Index1"/>
        <w:tabs>
          <w:tab w:val="right" w:leader="dot" w:pos="5030"/>
        </w:tabs>
        <w:rPr>
          <w:noProof/>
        </w:rPr>
      </w:pPr>
      <w:r>
        <w:rPr>
          <w:noProof/>
        </w:rPr>
        <w:t>BizTalk Server 2016 Branch, 10</w:t>
      </w:r>
    </w:p>
    <w:p w14:paraId="6CBD2A85" w14:textId="77777777" w:rsidR="000237B7" w:rsidRDefault="000237B7">
      <w:pPr>
        <w:pStyle w:val="Index1"/>
        <w:tabs>
          <w:tab w:val="right" w:leader="dot" w:pos="5030"/>
        </w:tabs>
        <w:rPr>
          <w:noProof/>
        </w:rPr>
      </w:pPr>
      <w:r>
        <w:rPr>
          <w:noProof/>
        </w:rPr>
        <w:t>BizTalk Server 2016 Enterprise, 10</w:t>
      </w:r>
    </w:p>
    <w:p w14:paraId="30152A9A" w14:textId="77777777" w:rsidR="000237B7" w:rsidRDefault="000237B7">
      <w:pPr>
        <w:pStyle w:val="Index1"/>
        <w:tabs>
          <w:tab w:val="right" w:leader="dot" w:pos="5030"/>
        </w:tabs>
        <w:rPr>
          <w:noProof/>
        </w:rPr>
      </w:pPr>
      <w:r>
        <w:rPr>
          <w:noProof/>
        </w:rPr>
        <w:t>BizTalk Server 2016 Standard, 10</w:t>
      </w:r>
    </w:p>
    <w:p w14:paraId="37101A35" w14:textId="77777777" w:rsidR="000237B7" w:rsidRDefault="000237B7">
      <w:pPr>
        <w:pStyle w:val="Index1"/>
        <w:tabs>
          <w:tab w:val="right" w:leader="dot" w:pos="5030"/>
        </w:tabs>
        <w:rPr>
          <w:noProof/>
        </w:rPr>
      </w:pPr>
      <w:r>
        <w:rPr>
          <w:noProof/>
        </w:rPr>
        <w:t>BizTalk Server Branch, 10</w:t>
      </w:r>
    </w:p>
    <w:p w14:paraId="7FCA28EF" w14:textId="77777777" w:rsidR="000237B7" w:rsidRDefault="000237B7">
      <w:pPr>
        <w:pStyle w:val="Index1"/>
        <w:tabs>
          <w:tab w:val="right" w:leader="dot" w:pos="5030"/>
        </w:tabs>
        <w:rPr>
          <w:noProof/>
        </w:rPr>
      </w:pPr>
      <w:r>
        <w:rPr>
          <w:noProof/>
        </w:rPr>
        <w:t>CAL Core, 19, 20, 22, 25</w:t>
      </w:r>
    </w:p>
    <w:p w14:paraId="0991562F" w14:textId="77777777" w:rsidR="000237B7" w:rsidRDefault="000237B7">
      <w:pPr>
        <w:pStyle w:val="Index1"/>
        <w:tabs>
          <w:tab w:val="right" w:leader="dot" w:pos="5030"/>
        </w:tabs>
        <w:rPr>
          <w:noProof/>
        </w:rPr>
      </w:pPr>
      <w:r>
        <w:rPr>
          <w:noProof/>
        </w:rPr>
        <w:t>CAL Enterprise, 19, 20, 25</w:t>
      </w:r>
    </w:p>
    <w:p w14:paraId="27A3F835" w14:textId="77777777" w:rsidR="000237B7" w:rsidRDefault="000237B7">
      <w:pPr>
        <w:pStyle w:val="Index1"/>
        <w:tabs>
          <w:tab w:val="right" w:leader="dot" w:pos="5030"/>
        </w:tabs>
        <w:rPr>
          <w:noProof/>
        </w:rPr>
      </w:pPr>
      <w:r>
        <w:rPr>
          <w:noProof/>
        </w:rPr>
        <w:t>CAL Entreprise, 22</w:t>
      </w:r>
    </w:p>
    <w:p w14:paraId="5875C665" w14:textId="77777777" w:rsidR="000237B7" w:rsidRDefault="000237B7">
      <w:pPr>
        <w:pStyle w:val="Index1"/>
        <w:tabs>
          <w:tab w:val="right" w:leader="dot" w:pos="5030"/>
        </w:tabs>
        <w:rPr>
          <w:noProof/>
        </w:rPr>
      </w:pPr>
      <w:r w:rsidRPr="009720B4">
        <w:rPr>
          <w:noProof/>
        </w:rPr>
        <w:t>CAL Entreprise Skype Entreprise Server 2015</w:t>
      </w:r>
      <w:r>
        <w:rPr>
          <w:noProof/>
        </w:rPr>
        <w:t>, 22</w:t>
      </w:r>
    </w:p>
    <w:p w14:paraId="3948F2EC" w14:textId="77777777" w:rsidR="000237B7" w:rsidRDefault="000237B7">
      <w:pPr>
        <w:pStyle w:val="Index1"/>
        <w:tabs>
          <w:tab w:val="right" w:leader="dot" w:pos="5030"/>
        </w:tabs>
        <w:rPr>
          <w:noProof/>
        </w:rPr>
      </w:pPr>
      <w:r w:rsidRPr="009720B4">
        <w:rPr>
          <w:noProof/>
        </w:rPr>
        <w:t>CAL Plus Skype Entreprise Server 2015</w:t>
      </w:r>
      <w:r>
        <w:rPr>
          <w:noProof/>
        </w:rPr>
        <w:t>, 22</w:t>
      </w:r>
    </w:p>
    <w:p w14:paraId="3E9C2698" w14:textId="77777777" w:rsidR="000237B7" w:rsidRDefault="000237B7">
      <w:pPr>
        <w:pStyle w:val="Index1"/>
        <w:tabs>
          <w:tab w:val="right" w:leader="dot" w:pos="5030"/>
        </w:tabs>
        <w:rPr>
          <w:noProof/>
        </w:rPr>
      </w:pPr>
      <w:r>
        <w:rPr>
          <w:noProof/>
        </w:rPr>
        <w:t>CAL Standard Skype Entreprise Server 2015, 22</w:t>
      </w:r>
    </w:p>
    <w:p w14:paraId="07816D6A" w14:textId="77777777" w:rsidR="000237B7" w:rsidRDefault="000237B7">
      <w:pPr>
        <w:pStyle w:val="Index1"/>
        <w:tabs>
          <w:tab w:val="right" w:leader="dot" w:pos="5030"/>
        </w:tabs>
        <w:rPr>
          <w:noProof/>
        </w:rPr>
      </w:pPr>
      <w:r>
        <w:rPr>
          <w:noProof/>
        </w:rPr>
        <w:t>Cloud Platform Guest, 24, 25</w:t>
      </w:r>
    </w:p>
    <w:p w14:paraId="0B4F26F8" w14:textId="77777777" w:rsidR="000237B7" w:rsidRDefault="000237B7">
      <w:pPr>
        <w:pStyle w:val="Index1"/>
        <w:tabs>
          <w:tab w:val="right" w:leader="dot" w:pos="5030"/>
        </w:tabs>
        <w:rPr>
          <w:noProof/>
        </w:rPr>
      </w:pPr>
      <w:r>
        <w:rPr>
          <w:noProof/>
        </w:rPr>
        <w:t>Cloud Platform Suite, 9, 24, 25</w:t>
      </w:r>
    </w:p>
    <w:p w14:paraId="7696B90E" w14:textId="77777777" w:rsidR="000237B7" w:rsidRDefault="000237B7">
      <w:pPr>
        <w:pStyle w:val="Index1"/>
        <w:tabs>
          <w:tab w:val="right" w:leader="dot" w:pos="5030"/>
        </w:tabs>
        <w:rPr>
          <w:noProof/>
        </w:rPr>
      </w:pPr>
      <w:r>
        <w:rPr>
          <w:noProof/>
        </w:rPr>
        <w:t>Core Infrastructure Server Suite Datacenter, 11</w:t>
      </w:r>
    </w:p>
    <w:p w14:paraId="0F463A70" w14:textId="77777777" w:rsidR="000237B7" w:rsidRDefault="000237B7">
      <w:pPr>
        <w:pStyle w:val="Index1"/>
        <w:tabs>
          <w:tab w:val="right" w:leader="dot" w:pos="5030"/>
        </w:tabs>
        <w:rPr>
          <w:noProof/>
        </w:rPr>
      </w:pPr>
      <w:r>
        <w:rPr>
          <w:noProof/>
        </w:rPr>
        <w:t>Core Infrastructure Server Suite Standard, 11</w:t>
      </w:r>
    </w:p>
    <w:p w14:paraId="143C80FB" w14:textId="77777777" w:rsidR="000237B7" w:rsidRDefault="000237B7">
      <w:pPr>
        <w:pStyle w:val="Index1"/>
        <w:tabs>
          <w:tab w:val="right" w:leader="dot" w:pos="5030"/>
        </w:tabs>
        <w:rPr>
          <w:noProof/>
        </w:rPr>
      </w:pPr>
      <w:r>
        <w:rPr>
          <w:noProof/>
        </w:rPr>
        <w:t>Data Protection Manager System Center 2016, 26</w:t>
      </w:r>
    </w:p>
    <w:p w14:paraId="702CC9B0" w14:textId="77777777" w:rsidR="000237B7" w:rsidRDefault="000237B7">
      <w:pPr>
        <w:pStyle w:val="Index1"/>
        <w:tabs>
          <w:tab w:val="right" w:leader="dot" w:pos="5030"/>
        </w:tabs>
        <w:rPr>
          <w:noProof/>
        </w:rPr>
      </w:pPr>
      <w:r>
        <w:rPr>
          <w:noProof/>
        </w:rPr>
        <w:t>Dynamics AX 2012 R2, 12</w:t>
      </w:r>
    </w:p>
    <w:p w14:paraId="01426119" w14:textId="77777777" w:rsidR="000237B7" w:rsidRDefault="000237B7">
      <w:pPr>
        <w:pStyle w:val="Index1"/>
        <w:tabs>
          <w:tab w:val="right" w:leader="dot" w:pos="5030"/>
        </w:tabs>
        <w:rPr>
          <w:noProof/>
        </w:rPr>
      </w:pPr>
      <w:r>
        <w:rPr>
          <w:noProof/>
        </w:rPr>
        <w:t>Dynamics NAV 2013 R2, 27</w:t>
      </w:r>
    </w:p>
    <w:p w14:paraId="6A93AECE" w14:textId="77777777" w:rsidR="000237B7" w:rsidRDefault="000237B7">
      <w:pPr>
        <w:pStyle w:val="Index1"/>
        <w:tabs>
          <w:tab w:val="right" w:leader="dot" w:pos="5030"/>
        </w:tabs>
        <w:rPr>
          <w:noProof/>
        </w:rPr>
      </w:pPr>
      <w:r>
        <w:rPr>
          <w:noProof/>
        </w:rPr>
        <w:t>Exchange Server 2013, 18</w:t>
      </w:r>
    </w:p>
    <w:p w14:paraId="3EA613EA" w14:textId="77777777" w:rsidR="000237B7" w:rsidRDefault="000237B7">
      <w:pPr>
        <w:pStyle w:val="Index1"/>
        <w:tabs>
          <w:tab w:val="right" w:leader="dot" w:pos="5030"/>
        </w:tabs>
        <w:rPr>
          <w:noProof/>
        </w:rPr>
      </w:pPr>
      <w:r>
        <w:rPr>
          <w:noProof/>
        </w:rPr>
        <w:t>Exchange Server 2016 Basic, 18</w:t>
      </w:r>
    </w:p>
    <w:p w14:paraId="0456DFB6" w14:textId="77777777" w:rsidR="000237B7" w:rsidRDefault="000237B7">
      <w:pPr>
        <w:pStyle w:val="Index1"/>
        <w:tabs>
          <w:tab w:val="right" w:leader="dot" w:pos="5030"/>
        </w:tabs>
        <w:rPr>
          <w:noProof/>
        </w:rPr>
      </w:pPr>
      <w:r>
        <w:rPr>
          <w:noProof/>
        </w:rPr>
        <w:t>Exchange Server 2016 Enterprise, 18, 19</w:t>
      </w:r>
    </w:p>
    <w:p w14:paraId="13D10B95" w14:textId="77777777" w:rsidR="000237B7" w:rsidRDefault="000237B7">
      <w:pPr>
        <w:pStyle w:val="Index1"/>
        <w:tabs>
          <w:tab w:val="right" w:leader="dot" w:pos="5030"/>
        </w:tabs>
        <w:rPr>
          <w:noProof/>
        </w:rPr>
      </w:pPr>
      <w:r>
        <w:rPr>
          <w:noProof/>
        </w:rPr>
        <w:t>Exchange Server 2016 Standard, 18, 19</w:t>
      </w:r>
    </w:p>
    <w:p w14:paraId="55B60B06" w14:textId="77777777" w:rsidR="000237B7" w:rsidRDefault="000237B7">
      <w:pPr>
        <w:pStyle w:val="Index1"/>
        <w:tabs>
          <w:tab w:val="right" w:leader="dot" w:pos="5030"/>
        </w:tabs>
        <w:rPr>
          <w:noProof/>
        </w:rPr>
      </w:pPr>
      <w:r>
        <w:rPr>
          <w:noProof/>
        </w:rPr>
        <w:t>Lync 2011 pour Mac, 22</w:t>
      </w:r>
    </w:p>
    <w:p w14:paraId="43D1D25A" w14:textId="77777777" w:rsidR="000237B7" w:rsidRDefault="000237B7">
      <w:pPr>
        <w:pStyle w:val="Index1"/>
        <w:tabs>
          <w:tab w:val="right" w:leader="dot" w:pos="5030"/>
        </w:tabs>
        <w:rPr>
          <w:noProof/>
        </w:rPr>
      </w:pPr>
      <w:r>
        <w:rPr>
          <w:noProof/>
        </w:rPr>
        <w:t>Lync Server 2013, 21</w:t>
      </w:r>
    </w:p>
    <w:p w14:paraId="637F931F" w14:textId="77777777" w:rsidR="000237B7" w:rsidRDefault="000237B7">
      <w:pPr>
        <w:pStyle w:val="Index1"/>
        <w:tabs>
          <w:tab w:val="right" w:leader="dot" w:pos="5030"/>
        </w:tabs>
        <w:rPr>
          <w:noProof/>
        </w:rPr>
      </w:pPr>
      <w:r>
        <w:rPr>
          <w:noProof/>
        </w:rPr>
        <w:t>Microsoft Application Virtualization Hosting pour Desktop, 27</w:t>
      </w:r>
    </w:p>
    <w:p w14:paraId="303BF098" w14:textId="77777777" w:rsidR="000237B7" w:rsidRDefault="000237B7">
      <w:pPr>
        <w:pStyle w:val="Index1"/>
        <w:tabs>
          <w:tab w:val="right" w:leader="dot" w:pos="5030"/>
        </w:tabs>
        <w:rPr>
          <w:noProof/>
        </w:rPr>
      </w:pPr>
      <w:r>
        <w:rPr>
          <w:noProof/>
        </w:rPr>
        <w:t>Microsoft Dynamics AX 2012 R2, 12</w:t>
      </w:r>
    </w:p>
    <w:p w14:paraId="0689B304" w14:textId="77777777" w:rsidR="000237B7" w:rsidRDefault="000237B7">
      <w:pPr>
        <w:pStyle w:val="Index1"/>
        <w:tabs>
          <w:tab w:val="right" w:leader="dot" w:pos="5030"/>
        </w:tabs>
        <w:rPr>
          <w:noProof/>
        </w:rPr>
      </w:pPr>
      <w:r>
        <w:rPr>
          <w:noProof/>
        </w:rPr>
        <w:t>Microsoft Dynamics AX 2012 R3, 12, 13</w:t>
      </w:r>
    </w:p>
    <w:p w14:paraId="6BA551FA" w14:textId="77777777" w:rsidR="000237B7" w:rsidRDefault="000237B7">
      <w:pPr>
        <w:pStyle w:val="Index1"/>
        <w:tabs>
          <w:tab w:val="right" w:leader="dot" w:pos="5030"/>
        </w:tabs>
        <w:rPr>
          <w:noProof/>
        </w:rPr>
      </w:pPr>
      <w:r>
        <w:rPr>
          <w:noProof/>
        </w:rPr>
        <w:t>Microsoft Dynamics AX 2012 R3 Standard Commerce Server Core, 12</w:t>
      </w:r>
    </w:p>
    <w:p w14:paraId="4046E67F" w14:textId="77777777" w:rsidR="000237B7" w:rsidRDefault="000237B7">
      <w:pPr>
        <w:pStyle w:val="Index1"/>
        <w:tabs>
          <w:tab w:val="right" w:leader="dot" w:pos="5030"/>
        </w:tabs>
        <w:rPr>
          <w:noProof/>
        </w:rPr>
      </w:pPr>
      <w:r>
        <w:rPr>
          <w:noProof/>
        </w:rPr>
        <w:t>Microsoft Dynamics CRM 2016, 13, 14</w:t>
      </w:r>
    </w:p>
    <w:p w14:paraId="7B056795" w14:textId="77777777" w:rsidR="000237B7" w:rsidRDefault="000237B7">
      <w:pPr>
        <w:pStyle w:val="Index1"/>
        <w:tabs>
          <w:tab w:val="right" w:leader="dot" w:pos="5030"/>
        </w:tabs>
        <w:rPr>
          <w:noProof/>
        </w:rPr>
      </w:pPr>
      <w:r>
        <w:rPr>
          <w:noProof/>
        </w:rPr>
        <w:t>Microsoft Dynamics GP 2015 R2, 15</w:t>
      </w:r>
    </w:p>
    <w:p w14:paraId="1963A9FB" w14:textId="77777777" w:rsidR="000237B7" w:rsidRDefault="000237B7">
      <w:pPr>
        <w:pStyle w:val="Index1"/>
        <w:tabs>
          <w:tab w:val="right" w:leader="dot" w:pos="5030"/>
        </w:tabs>
        <w:rPr>
          <w:noProof/>
        </w:rPr>
      </w:pPr>
      <w:r>
        <w:rPr>
          <w:noProof/>
        </w:rPr>
        <w:t>Microsoft Dynamics GP 2016, 15, 16</w:t>
      </w:r>
    </w:p>
    <w:p w14:paraId="1F7CB690" w14:textId="77777777" w:rsidR="000237B7" w:rsidRDefault="000237B7">
      <w:pPr>
        <w:pStyle w:val="Index1"/>
        <w:tabs>
          <w:tab w:val="right" w:leader="dot" w:pos="5030"/>
        </w:tabs>
        <w:rPr>
          <w:noProof/>
        </w:rPr>
      </w:pPr>
      <w:r>
        <w:rPr>
          <w:noProof/>
        </w:rPr>
        <w:t>Microsoft Dynamics NAV 2015, 14</w:t>
      </w:r>
    </w:p>
    <w:p w14:paraId="0E746485" w14:textId="77777777" w:rsidR="000237B7" w:rsidRDefault="000237B7">
      <w:pPr>
        <w:pStyle w:val="Index1"/>
        <w:tabs>
          <w:tab w:val="right" w:leader="dot" w:pos="5030"/>
        </w:tabs>
        <w:rPr>
          <w:noProof/>
        </w:rPr>
      </w:pPr>
      <w:r>
        <w:rPr>
          <w:noProof/>
        </w:rPr>
        <w:t>Microsoft Dynamics NAV 2016, 14</w:t>
      </w:r>
    </w:p>
    <w:p w14:paraId="2240EA41" w14:textId="77777777" w:rsidR="000237B7" w:rsidRDefault="000237B7">
      <w:pPr>
        <w:pStyle w:val="Index1"/>
        <w:tabs>
          <w:tab w:val="right" w:leader="dot" w:pos="5030"/>
        </w:tabs>
        <w:rPr>
          <w:noProof/>
        </w:rPr>
      </w:pPr>
      <w:r>
        <w:rPr>
          <w:noProof/>
        </w:rPr>
        <w:t>Microsoft Dynamics SL 2011, 16</w:t>
      </w:r>
    </w:p>
    <w:p w14:paraId="2F679256" w14:textId="77777777" w:rsidR="000237B7" w:rsidRDefault="000237B7">
      <w:pPr>
        <w:pStyle w:val="Index1"/>
        <w:tabs>
          <w:tab w:val="right" w:leader="dot" w:pos="5030"/>
        </w:tabs>
        <w:rPr>
          <w:noProof/>
        </w:rPr>
      </w:pPr>
      <w:r>
        <w:rPr>
          <w:noProof/>
        </w:rPr>
        <w:t>Microsoft Dynamics SL 2015, 16, 17</w:t>
      </w:r>
    </w:p>
    <w:p w14:paraId="3365B519" w14:textId="77777777" w:rsidR="000237B7" w:rsidRDefault="000237B7">
      <w:pPr>
        <w:pStyle w:val="Index1"/>
        <w:tabs>
          <w:tab w:val="right" w:leader="dot" w:pos="5030"/>
        </w:tabs>
        <w:rPr>
          <w:noProof/>
        </w:rPr>
      </w:pPr>
      <w:r>
        <w:rPr>
          <w:noProof/>
        </w:rPr>
        <w:t>Microsoft Identity Manager 2016, 30, 31</w:t>
      </w:r>
    </w:p>
    <w:p w14:paraId="5FE16156" w14:textId="77777777" w:rsidR="000237B7" w:rsidRDefault="000237B7">
      <w:pPr>
        <w:pStyle w:val="Index1"/>
        <w:tabs>
          <w:tab w:val="right" w:leader="dot" w:pos="5030"/>
        </w:tabs>
        <w:rPr>
          <w:noProof/>
        </w:rPr>
      </w:pPr>
      <w:r>
        <w:rPr>
          <w:noProof/>
        </w:rPr>
        <w:t>Microsoft User Experience Virtualization Hosting pour Desktops, 28</w:t>
      </w:r>
    </w:p>
    <w:p w14:paraId="6460179A" w14:textId="77777777" w:rsidR="000237B7" w:rsidRDefault="000237B7">
      <w:pPr>
        <w:pStyle w:val="Index1"/>
        <w:tabs>
          <w:tab w:val="right" w:leader="dot" w:pos="5030"/>
        </w:tabs>
        <w:rPr>
          <w:noProof/>
        </w:rPr>
      </w:pPr>
      <w:r>
        <w:rPr>
          <w:noProof/>
        </w:rPr>
        <w:t>Office 2013, 17</w:t>
      </w:r>
    </w:p>
    <w:p w14:paraId="55765658" w14:textId="77777777" w:rsidR="000237B7" w:rsidRDefault="000237B7">
      <w:pPr>
        <w:pStyle w:val="Index1"/>
        <w:tabs>
          <w:tab w:val="right" w:leader="dot" w:pos="5030"/>
        </w:tabs>
        <w:rPr>
          <w:noProof/>
        </w:rPr>
      </w:pPr>
      <w:r w:rsidRPr="009720B4">
        <w:rPr>
          <w:noProof/>
        </w:rPr>
        <w:t>Office 365 Entreprise</w:t>
      </w:r>
      <w:r>
        <w:rPr>
          <w:noProof/>
        </w:rPr>
        <w:t>, 22</w:t>
      </w:r>
    </w:p>
    <w:p w14:paraId="37DB6149" w14:textId="77777777" w:rsidR="000237B7" w:rsidRDefault="000237B7">
      <w:pPr>
        <w:pStyle w:val="Index1"/>
        <w:tabs>
          <w:tab w:val="right" w:leader="dot" w:pos="5030"/>
        </w:tabs>
        <w:rPr>
          <w:noProof/>
        </w:rPr>
      </w:pPr>
      <w:r>
        <w:rPr>
          <w:noProof/>
        </w:rPr>
        <w:t>Office Online Server, 17</w:t>
      </w:r>
    </w:p>
    <w:p w14:paraId="762FF5E6" w14:textId="77777777" w:rsidR="000237B7" w:rsidRDefault="000237B7">
      <w:pPr>
        <w:pStyle w:val="Index1"/>
        <w:tabs>
          <w:tab w:val="right" w:leader="dot" w:pos="5030"/>
        </w:tabs>
        <w:rPr>
          <w:noProof/>
        </w:rPr>
      </w:pPr>
      <w:r>
        <w:rPr>
          <w:noProof/>
        </w:rPr>
        <w:t>Office Professionnel Plus 2016, 17</w:t>
      </w:r>
    </w:p>
    <w:p w14:paraId="28F9643A" w14:textId="77777777" w:rsidR="000237B7" w:rsidRDefault="000237B7">
      <w:pPr>
        <w:pStyle w:val="Index1"/>
        <w:tabs>
          <w:tab w:val="right" w:leader="dot" w:pos="5030"/>
        </w:tabs>
        <w:rPr>
          <w:noProof/>
        </w:rPr>
      </w:pPr>
      <w:r>
        <w:rPr>
          <w:noProof/>
        </w:rPr>
        <w:t>Office Standard 2016, 17</w:t>
      </w:r>
    </w:p>
    <w:p w14:paraId="0286DFAA" w14:textId="77777777" w:rsidR="000237B7" w:rsidRDefault="000237B7">
      <w:pPr>
        <w:pStyle w:val="Index1"/>
        <w:tabs>
          <w:tab w:val="right" w:leader="dot" w:pos="5030"/>
        </w:tabs>
        <w:rPr>
          <w:noProof/>
        </w:rPr>
      </w:pPr>
      <w:r>
        <w:rPr>
          <w:noProof/>
        </w:rPr>
        <w:t>Office Web Apps, 3</w:t>
      </w:r>
    </w:p>
    <w:p w14:paraId="0B3F2107" w14:textId="77777777" w:rsidR="000237B7" w:rsidRDefault="000237B7">
      <w:pPr>
        <w:pStyle w:val="Index1"/>
        <w:tabs>
          <w:tab w:val="right" w:leader="dot" w:pos="5030"/>
        </w:tabs>
        <w:rPr>
          <w:noProof/>
        </w:rPr>
      </w:pPr>
      <w:r w:rsidRPr="009720B4">
        <w:rPr>
          <w:noProof/>
          <w:color w:val="000000" w:themeColor="text1"/>
        </w:rPr>
        <w:t>Operations Manager System Center 2016</w:t>
      </w:r>
      <w:r>
        <w:rPr>
          <w:noProof/>
        </w:rPr>
        <w:t>, 26</w:t>
      </w:r>
    </w:p>
    <w:p w14:paraId="0FE2B9BA" w14:textId="77777777" w:rsidR="000237B7" w:rsidRDefault="000237B7">
      <w:pPr>
        <w:pStyle w:val="Index1"/>
        <w:tabs>
          <w:tab w:val="right" w:leader="dot" w:pos="5030"/>
        </w:tabs>
        <w:rPr>
          <w:noProof/>
        </w:rPr>
      </w:pPr>
      <w:r>
        <w:rPr>
          <w:noProof/>
        </w:rPr>
        <w:t>Pack multilingue Office 2013, 17</w:t>
      </w:r>
    </w:p>
    <w:p w14:paraId="07FBD72D" w14:textId="77777777" w:rsidR="000237B7" w:rsidRDefault="000237B7">
      <w:pPr>
        <w:pStyle w:val="Index1"/>
        <w:tabs>
          <w:tab w:val="right" w:leader="dot" w:pos="5030"/>
        </w:tabs>
        <w:rPr>
          <w:noProof/>
        </w:rPr>
      </w:pPr>
      <w:r>
        <w:rPr>
          <w:noProof/>
        </w:rPr>
        <w:t>Pack Windows Azure pour Windows Server, 24</w:t>
      </w:r>
    </w:p>
    <w:p w14:paraId="637A8FEE" w14:textId="77777777" w:rsidR="000237B7" w:rsidRDefault="000237B7">
      <w:pPr>
        <w:pStyle w:val="Index1"/>
        <w:tabs>
          <w:tab w:val="right" w:leader="dot" w:pos="5030"/>
        </w:tabs>
        <w:rPr>
          <w:noProof/>
        </w:rPr>
      </w:pPr>
      <w:r>
        <w:rPr>
          <w:noProof/>
        </w:rPr>
        <w:t>Prestataire de Services Microsoft Dynamics 365, 13</w:t>
      </w:r>
    </w:p>
    <w:p w14:paraId="6FF096F4" w14:textId="77777777" w:rsidR="000237B7" w:rsidRDefault="000237B7">
      <w:pPr>
        <w:pStyle w:val="Index1"/>
        <w:tabs>
          <w:tab w:val="right" w:leader="dot" w:pos="5030"/>
        </w:tabs>
        <w:rPr>
          <w:noProof/>
        </w:rPr>
      </w:pPr>
      <w:r>
        <w:rPr>
          <w:noProof/>
        </w:rPr>
        <w:t>Productivity Suite, 19, 20, 21, 22, 25</w:t>
      </w:r>
    </w:p>
    <w:p w14:paraId="7BDC0FF7" w14:textId="77777777" w:rsidR="000237B7" w:rsidRDefault="000237B7">
      <w:pPr>
        <w:pStyle w:val="Index1"/>
        <w:tabs>
          <w:tab w:val="right" w:leader="dot" w:pos="5030"/>
        </w:tabs>
        <w:rPr>
          <w:noProof/>
        </w:rPr>
      </w:pPr>
      <w:r>
        <w:rPr>
          <w:noProof/>
        </w:rPr>
        <w:t>Project 2013, 17</w:t>
      </w:r>
    </w:p>
    <w:p w14:paraId="445D645A" w14:textId="77777777" w:rsidR="000237B7" w:rsidRDefault="000237B7">
      <w:pPr>
        <w:pStyle w:val="Index1"/>
        <w:tabs>
          <w:tab w:val="right" w:leader="dot" w:pos="5030"/>
        </w:tabs>
        <w:rPr>
          <w:noProof/>
        </w:rPr>
      </w:pPr>
      <w:r>
        <w:rPr>
          <w:noProof/>
        </w:rPr>
        <w:t>Project Professionnel 2016, 17, 18</w:t>
      </w:r>
    </w:p>
    <w:p w14:paraId="4DDFA0A5" w14:textId="77777777" w:rsidR="000237B7" w:rsidRDefault="000237B7">
      <w:pPr>
        <w:pStyle w:val="Index1"/>
        <w:tabs>
          <w:tab w:val="right" w:leader="dot" w:pos="5030"/>
        </w:tabs>
        <w:rPr>
          <w:noProof/>
        </w:rPr>
      </w:pPr>
      <w:r>
        <w:rPr>
          <w:noProof/>
        </w:rPr>
        <w:t>Project Server 2013, 19, 20</w:t>
      </w:r>
    </w:p>
    <w:p w14:paraId="1722AC84" w14:textId="77777777" w:rsidR="000237B7" w:rsidRDefault="000237B7">
      <w:pPr>
        <w:pStyle w:val="Index1"/>
        <w:tabs>
          <w:tab w:val="right" w:leader="dot" w:pos="5030"/>
        </w:tabs>
        <w:rPr>
          <w:noProof/>
        </w:rPr>
      </w:pPr>
      <w:r>
        <w:rPr>
          <w:noProof/>
        </w:rPr>
        <w:t>Project Server 2016, 19</w:t>
      </w:r>
    </w:p>
    <w:p w14:paraId="2840FDE0" w14:textId="77777777" w:rsidR="000237B7" w:rsidRDefault="000237B7">
      <w:pPr>
        <w:pStyle w:val="Index1"/>
        <w:tabs>
          <w:tab w:val="right" w:leader="dot" w:pos="5030"/>
        </w:tabs>
        <w:rPr>
          <w:noProof/>
        </w:rPr>
      </w:pPr>
      <w:r>
        <w:rPr>
          <w:noProof/>
        </w:rPr>
        <w:t>Project Standard 2016, 17, 18</w:t>
      </w:r>
    </w:p>
    <w:p w14:paraId="60583D82" w14:textId="77777777" w:rsidR="000237B7" w:rsidRDefault="000237B7">
      <w:pPr>
        <w:pStyle w:val="Index1"/>
        <w:tabs>
          <w:tab w:val="right" w:leader="dot" w:pos="5030"/>
        </w:tabs>
        <w:rPr>
          <w:noProof/>
        </w:rPr>
      </w:pPr>
      <w:r>
        <w:rPr>
          <w:noProof/>
        </w:rPr>
        <w:t>R Server 2016 Hadoop, 23</w:t>
      </w:r>
    </w:p>
    <w:p w14:paraId="343C9AD7" w14:textId="77777777" w:rsidR="000237B7" w:rsidRDefault="000237B7">
      <w:pPr>
        <w:pStyle w:val="Index1"/>
        <w:tabs>
          <w:tab w:val="right" w:leader="dot" w:pos="5030"/>
        </w:tabs>
        <w:rPr>
          <w:noProof/>
        </w:rPr>
      </w:pPr>
      <w:r>
        <w:rPr>
          <w:noProof/>
        </w:rPr>
        <w:t>R Server 2016 sur Linux, 23</w:t>
      </w:r>
    </w:p>
    <w:p w14:paraId="140CF231" w14:textId="77777777" w:rsidR="000237B7" w:rsidRDefault="000237B7">
      <w:pPr>
        <w:pStyle w:val="Index1"/>
        <w:tabs>
          <w:tab w:val="right" w:leader="dot" w:pos="5030"/>
        </w:tabs>
        <w:rPr>
          <w:noProof/>
        </w:rPr>
      </w:pPr>
      <w:r>
        <w:rPr>
          <w:noProof/>
        </w:rPr>
        <w:t>R2 Windows Server 2012, 24, 30</w:t>
      </w:r>
    </w:p>
    <w:p w14:paraId="4FB3EB3C" w14:textId="77777777" w:rsidR="000237B7" w:rsidRDefault="000237B7">
      <w:pPr>
        <w:pStyle w:val="Index1"/>
        <w:tabs>
          <w:tab w:val="right" w:leader="dot" w:pos="5030"/>
        </w:tabs>
        <w:rPr>
          <w:noProof/>
        </w:rPr>
      </w:pPr>
      <w:r>
        <w:rPr>
          <w:noProof/>
        </w:rPr>
        <w:t>SAL Hosted Exchange Standard, 19, 25</w:t>
      </w:r>
    </w:p>
    <w:p w14:paraId="445447CB" w14:textId="77777777" w:rsidR="000237B7" w:rsidRDefault="000237B7">
      <w:pPr>
        <w:pStyle w:val="Index1"/>
        <w:tabs>
          <w:tab w:val="right" w:leader="dot" w:pos="5030"/>
        </w:tabs>
        <w:rPr>
          <w:noProof/>
        </w:rPr>
      </w:pPr>
      <w:r>
        <w:rPr>
          <w:noProof/>
        </w:rPr>
        <w:t>Service Manager System Center 2016, 26</w:t>
      </w:r>
    </w:p>
    <w:p w14:paraId="70531F45" w14:textId="77777777" w:rsidR="000237B7" w:rsidRDefault="000237B7">
      <w:pPr>
        <w:pStyle w:val="Index1"/>
        <w:tabs>
          <w:tab w:val="right" w:leader="dot" w:pos="5030"/>
        </w:tabs>
        <w:rPr>
          <w:noProof/>
        </w:rPr>
      </w:pPr>
      <w:r>
        <w:rPr>
          <w:noProof/>
        </w:rPr>
        <w:t>Services Bureau à Distance Windows Server 2016, 30, 31</w:t>
      </w:r>
    </w:p>
    <w:p w14:paraId="3FE382D1" w14:textId="77777777" w:rsidR="000237B7" w:rsidRDefault="000237B7">
      <w:pPr>
        <w:pStyle w:val="Index1"/>
        <w:tabs>
          <w:tab w:val="right" w:leader="dot" w:pos="5030"/>
        </w:tabs>
        <w:rPr>
          <w:noProof/>
        </w:rPr>
      </w:pPr>
      <w:r>
        <w:rPr>
          <w:noProof/>
        </w:rPr>
        <w:t>SharePoint 2016 Hosting, 20</w:t>
      </w:r>
    </w:p>
    <w:p w14:paraId="161E635F" w14:textId="77777777" w:rsidR="000237B7" w:rsidRDefault="000237B7">
      <w:pPr>
        <w:pStyle w:val="Index1"/>
        <w:tabs>
          <w:tab w:val="right" w:leader="dot" w:pos="5030"/>
        </w:tabs>
        <w:rPr>
          <w:noProof/>
        </w:rPr>
      </w:pPr>
      <w:r>
        <w:rPr>
          <w:noProof/>
        </w:rPr>
        <w:t>SharePoint Server 2013, 20</w:t>
      </w:r>
    </w:p>
    <w:p w14:paraId="26D6E604" w14:textId="77777777" w:rsidR="000237B7" w:rsidRDefault="000237B7">
      <w:pPr>
        <w:pStyle w:val="Index1"/>
        <w:tabs>
          <w:tab w:val="right" w:leader="dot" w:pos="5030"/>
        </w:tabs>
        <w:rPr>
          <w:noProof/>
        </w:rPr>
      </w:pPr>
      <w:r>
        <w:rPr>
          <w:noProof/>
        </w:rPr>
        <w:t>SharePoint Server 2016 Standard, 20, 25</w:t>
      </w:r>
    </w:p>
    <w:p w14:paraId="1D42EB44" w14:textId="77777777" w:rsidR="000237B7" w:rsidRDefault="000237B7">
      <w:pPr>
        <w:pStyle w:val="Index1"/>
        <w:tabs>
          <w:tab w:val="right" w:leader="dot" w:pos="5030"/>
        </w:tabs>
        <w:rPr>
          <w:noProof/>
        </w:rPr>
      </w:pPr>
      <w:r>
        <w:rPr>
          <w:noProof/>
        </w:rPr>
        <w:t>SharePoint Server Standard, 20</w:t>
      </w:r>
    </w:p>
    <w:p w14:paraId="2B4851F1" w14:textId="77777777" w:rsidR="000237B7" w:rsidRDefault="000237B7">
      <w:pPr>
        <w:pStyle w:val="Index1"/>
        <w:tabs>
          <w:tab w:val="right" w:leader="dot" w:pos="5030"/>
        </w:tabs>
        <w:rPr>
          <w:noProof/>
        </w:rPr>
      </w:pPr>
      <w:r>
        <w:rPr>
          <w:noProof/>
        </w:rPr>
        <w:t>Skype Entreprise 2015 Enterprise Plus, 21</w:t>
      </w:r>
    </w:p>
    <w:p w14:paraId="107C53E9" w14:textId="77777777" w:rsidR="000237B7" w:rsidRDefault="000237B7">
      <w:pPr>
        <w:pStyle w:val="Index1"/>
        <w:tabs>
          <w:tab w:val="right" w:leader="dot" w:pos="5030"/>
        </w:tabs>
        <w:rPr>
          <w:noProof/>
        </w:rPr>
      </w:pPr>
      <w:r>
        <w:rPr>
          <w:noProof/>
        </w:rPr>
        <w:t>Skype Entreprise Server 2015 Enterprise, 21, 22</w:t>
      </w:r>
    </w:p>
    <w:p w14:paraId="0CABBE75" w14:textId="77777777" w:rsidR="000237B7" w:rsidRDefault="000237B7">
      <w:pPr>
        <w:pStyle w:val="Index1"/>
        <w:tabs>
          <w:tab w:val="right" w:leader="dot" w:pos="5030"/>
        </w:tabs>
        <w:rPr>
          <w:noProof/>
        </w:rPr>
      </w:pPr>
      <w:r>
        <w:rPr>
          <w:noProof/>
        </w:rPr>
        <w:t>Skype Entreprise Server 2015 Plus, 21, 22</w:t>
      </w:r>
    </w:p>
    <w:p w14:paraId="33B63372" w14:textId="77777777" w:rsidR="000237B7" w:rsidRDefault="000237B7">
      <w:pPr>
        <w:pStyle w:val="Index1"/>
        <w:tabs>
          <w:tab w:val="right" w:leader="dot" w:pos="5030"/>
        </w:tabs>
        <w:rPr>
          <w:noProof/>
        </w:rPr>
      </w:pPr>
      <w:r>
        <w:rPr>
          <w:noProof/>
        </w:rPr>
        <w:t>Skype Entreprise Server 2015 Standard, 21, 25</w:t>
      </w:r>
    </w:p>
    <w:p w14:paraId="6FE064F1" w14:textId="77777777" w:rsidR="000237B7" w:rsidRDefault="000237B7">
      <w:pPr>
        <w:pStyle w:val="Index1"/>
        <w:tabs>
          <w:tab w:val="right" w:leader="dot" w:pos="5030"/>
        </w:tabs>
        <w:rPr>
          <w:noProof/>
        </w:rPr>
      </w:pPr>
      <w:r>
        <w:rPr>
          <w:noProof/>
        </w:rPr>
        <w:t>SQL Server 2012, 23, 24</w:t>
      </w:r>
    </w:p>
    <w:p w14:paraId="0E8D6B2A" w14:textId="77777777" w:rsidR="000237B7" w:rsidRDefault="000237B7">
      <w:pPr>
        <w:pStyle w:val="Index1"/>
        <w:tabs>
          <w:tab w:val="right" w:leader="dot" w:pos="5030"/>
        </w:tabs>
        <w:rPr>
          <w:noProof/>
        </w:rPr>
      </w:pPr>
      <w:r>
        <w:rPr>
          <w:noProof/>
        </w:rPr>
        <w:t>SQL Server 2014, 23</w:t>
      </w:r>
    </w:p>
    <w:p w14:paraId="6254D63D" w14:textId="77777777" w:rsidR="000237B7" w:rsidRDefault="000237B7">
      <w:pPr>
        <w:pStyle w:val="Index1"/>
        <w:tabs>
          <w:tab w:val="right" w:leader="dot" w:pos="5030"/>
        </w:tabs>
        <w:rPr>
          <w:noProof/>
        </w:rPr>
      </w:pPr>
      <w:r>
        <w:rPr>
          <w:noProof/>
        </w:rPr>
        <w:t>SQL Server 2016 Enterprise Core, 23</w:t>
      </w:r>
    </w:p>
    <w:p w14:paraId="6BABD3E6" w14:textId="77777777" w:rsidR="000237B7" w:rsidRDefault="000237B7">
      <w:pPr>
        <w:pStyle w:val="Index1"/>
        <w:tabs>
          <w:tab w:val="right" w:leader="dot" w:pos="5030"/>
        </w:tabs>
        <w:rPr>
          <w:noProof/>
        </w:rPr>
      </w:pPr>
      <w:r>
        <w:rPr>
          <w:noProof/>
        </w:rPr>
        <w:t>SQL Server 2016 Standard, 23</w:t>
      </w:r>
    </w:p>
    <w:p w14:paraId="39ED146B" w14:textId="77777777" w:rsidR="000237B7" w:rsidRDefault="000237B7">
      <w:pPr>
        <w:pStyle w:val="Index1"/>
        <w:tabs>
          <w:tab w:val="right" w:leader="dot" w:pos="5030"/>
        </w:tabs>
        <w:rPr>
          <w:noProof/>
        </w:rPr>
      </w:pPr>
      <w:r>
        <w:rPr>
          <w:noProof/>
        </w:rPr>
        <w:t>SQL Server 2016 Standard Core, 23</w:t>
      </w:r>
    </w:p>
    <w:p w14:paraId="57351C12" w14:textId="77777777" w:rsidR="000237B7" w:rsidRDefault="000237B7">
      <w:pPr>
        <w:pStyle w:val="Index1"/>
        <w:tabs>
          <w:tab w:val="right" w:leader="dot" w:pos="5030"/>
        </w:tabs>
        <w:rPr>
          <w:noProof/>
        </w:rPr>
      </w:pPr>
      <w:r>
        <w:rPr>
          <w:noProof/>
        </w:rPr>
        <w:t>SQL Server 2016 Web Core, 23</w:t>
      </w:r>
    </w:p>
    <w:p w14:paraId="2B82B828" w14:textId="77777777" w:rsidR="000237B7" w:rsidRDefault="000237B7">
      <w:pPr>
        <w:pStyle w:val="Index1"/>
        <w:tabs>
          <w:tab w:val="right" w:leader="dot" w:pos="5030"/>
        </w:tabs>
        <w:rPr>
          <w:noProof/>
        </w:rPr>
      </w:pPr>
      <w:r>
        <w:rPr>
          <w:noProof/>
        </w:rPr>
        <w:t>System Center 2012 R2, 24, 25</w:t>
      </w:r>
    </w:p>
    <w:p w14:paraId="50DF934C" w14:textId="77777777" w:rsidR="000237B7" w:rsidRDefault="000237B7">
      <w:pPr>
        <w:pStyle w:val="Index1"/>
        <w:tabs>
          <w:tab w:val="right" w:leader="dot" w:pos="5030"/>
        </w:tabs>
        <w:rPr>
          <w:noProof/>
        </w:rPr>
      </w:pPr>
      <w:r>
        <w:rPr>
          <w:noProof/>
        </w:rPr>
        <w:t>System Center 2016 Data Protection Manager, 25</w:t>
      </w:r>
    </w:p>
    <w:p w14:paraId="2C22B05D" w14:textId="77777777" w:rsidR="000237B7" w:rsidRDefault="000237B7">
      <w:pPr>
        <w:pStyle w:val="Index1"/>
        <w:tabs>
          <w:tab w:val="right" w:leader="dot" w:pos="5030"/>
        </w:tabs>
        <w:rPr>
          <w:noProof/>
        </w:rPr>
      </w:pPr>
      <w:r>
        <w:rPr>
          <w:noProof/>
        </w:rPr>
        <w:t>System Center 2016 Datacenter, 25, 27</w:t>
      </w:r>
    </w:p>
    <w:p w14:paraId="49D4ACE3" w14:textId="77777777" w:rsidR="000237B7" w:rsidRDefault="000237B7">
      <w:pPr>
        <w:pStyle w:val="Index1"/>
        <w:tabs>
          <w:tab w:val="right" w:leader="dot" w:pos="5030"/>
        </w:tabs>
        <w:rPr>
          <w:noProof/>
        </w:rPr>
      </w:pPr>
      <w:r>
        <w:rPr>
          <w:noProof/>
        </w:rPr>
        <w:t>System Center 2016 Orchestrator, 25, 26</w:t>
      </w:r>
    </w:p>
    <w:p w14:paraId="7EF956C7" w14:textId="77777777" w:rsidR="000237B7" w:rsidRDefault="000237B7">
      <w:pPr>
        <w:pStyle w:val="Index1"/>
        <w:tabs>
          <w:tab w:val="right" w:leader="dot" w:pos="5030"/>
        </w:tabs>
        <w:rPr>
          <w:noProof/>
        </w:rPr>
      </w:pPr>
      <w:r>
        <w:rPr>
          <w:noProof/>
        </w:rPr>
        <w:t>System Center 2016 Standard, 25, 27</w:t>
      </w:r>
    </w:p>
    <w:p w14:paraId="3E831A16" w14:textId="77777777" w:rsidR="000237B7" w:rsidRDefault="000237B7">
      <w:pPr>
        <w:pStyle w:val="Index1"/>
        <w:tabs>
          <w:tab w:val="right" w:leader="dot" w:pos="5030"/>
        </w:tabs>
        <w:rPr>
          <w:noProof/>
        </w:rPr>
      </w:pPr>
      <w:r>
        <w:rPr>
          <w:noProof/>
        </w:rPr>
        <w:t>System Center Datacenter, 11</w:t>
      </w:r>
    </w:p>
    <w:p w14:paraId="468C9954" w14:textId="77777777" w:rsidR="000237B7" w:rsidRDefault="000237B7">
      <w:pPr>
        <w:pStyle w:val="Index1"/>
        <w:tabs>
          <w:tab w:val="right" w:leader="dot" w:pos="5030"/>
        </w:tabs>
        <w:rPr>
          <w:noProof/>
        </w:rPr>
      </w:pPr>
      <w:r>
        <w:rPr>
          <w:noProof/>
        </w:rPr>
        <w:t>System Center Endpoint Protection, 26</w:t>
      </w:r>
    </w:p>
    <w:p w14:paraId="1AE31578" w14:textId="77777777" w:rsidR="000237B7" w:rsidRDefault="000237B7">
      <w:pPr>
        <w:pStyle w:val="Index1"/>
        <w:tabs>
          <w:tab w:val="right" w:leader="dot" w:pos="5030"/>
        </w:tabs>
        <w:rPr>
          <w:noProof/>
        </w:rPr>
      </w:pPr>
      <w:r>
        <w:rPr>
          <w:noProof/>
        </w:rPr>
        <w:t>System Center Endpoint Protection 1606, 25, 26</w:t>
      </w:r>
    </w:p>
    <w:p w14:paraId="14BB49EE" w14:textId="77777777" w:rsidR="000237B7" w:rsidRDefault="000237B7">
      <w:pPr>
        <w:pStyle w:val="Index1"/>
        <w:tabs>
          <w:tab w:val="right" w:leader="dot" w:pos="5030"/>
        </w:tabs>
        <w:rPr>
          <w:noProof/>
        </w:rPr>
      </w:pPr>
      <w:r>
        <w:rPr>
          <w:noProof/>
        </w:rPr>
        <w:t>System Center Operations Manager, 25</w:t>
      </w:r>
    </w:p>
    <w:p w14:paraId="700FDED0" w14:textId="77777777" w:rsidR="000237B7" w:rsidRDefault="000237B7">
      <w:pPr>
        <w:pStyle w:val="Index1"/>
        <w:tabs>
          <w:tab w:val="right" w:leader="dot" w:pos="5030"/>
        </w:tabs>
        <w:rPr>
          <w:noProof/>
        </w:rPr>
      </w:pPr>
      <w:r>
        <w:rPr>
          <w:noProof/>
        </w:rPr>
        <w:t>System Center Operations Manager 1606, 25, 26</w:t>
      </w:r>
    </w:p>
    <w:p w14:paraId="2BE3C9F9" w14:textId="77777777" w:rsidR="000237B7" w:rsidRDefault="000237B7">
      <w:pPr>
        <w:pStyle w:val="Index1"/>
        <w:tabs>
          <w:tab w:val="right" w:leader="dot" w:pos="5030"/>
        </w:tabs>
        <w:rPr>
          <w:noProof/>
        </w:rPr>
      </w:pPr>
      <w:r>
        <w:rPr>
          <w:noProof/>
        </w:rPr>
        <w:t>System Center Standard, 11</w:t>
      </w:r>
    </w:p>
    <w:p w14:paraId="5CC82B66" w14:textId="77777777" w:rsidR="000237B7" w:rsidRDefault="000237B7">
      <w:pPr>
        <w:pStyle w:val="Index1"/>
        <w:tabs>
          <w:tab w:val="right" w:leader="dot" w:pos="5030"/>
        </w:tabs>
        <w:rPr>
          <w:noProof/>
        </w:rPr>
      </w:pPr>
      <w:r>
        <w:rPr>
          <w:noProof/>
        </w:rPr>
        <w:t>Système d’exploitation Windows Desktop, 30</w:t>
      </w:r>
    </w:p>
    <w:p w14:paraId="0635CF03" w14:textId="77777777" w:rsidR="000237B7" w:rsidRDefault="000237B7">
      <w:pPr>
        <w:pStyle w:val="Index1"/>
        <w:tabs>
          <w:tab w:val="right" w:leader="dot" w:pos="5030"/>
        </w:tabs>
        <w:rPr>
          <w:noProof/>
        </w:rPr>
      </w:pPr>
      <w:r>
        <w:rPr>
          <w:noProof/>
        </w:rPr>
        <w:t>Visio 2013, 18</w:t>
      </w:r>
    </w:p>
    <w:p w14:paraId="5953493B" w14:textId="77777777" w:rsidR="000237B7" w:rsidRDefault="000237B7">
      <w:pPr>
        <w:pStyle w:val="Index1"/>
        <w:tabs>
          <w:tab w:val="right" w:leader="dot" w:pos="5030"/>
        </w:tabs>
        <w:rPr>
          <w:noProof/>
        </w:rPr>
      </w:pPr>
      <w:r>
        <w:rPr>
          <w:noProof/>
        </w:rPr>
        <w:t>Visio Professionnel 2016, 18</w:t>
      </w:r>
    </w:p>
    <w:p w14:paraId="6B2D3D8A" w14:textId="77777777" w:rsidR="000237B7" w:rsidRDefault="000237B7">
      <w:pPr>
        <w:pStyle w:val="Index1"/>
        <w:tabs>
          <w:tab w:val="right" w:leader="dot" w:pos="5030"/>
        </w:tabs>
        <w:rPr>
          <w:noProof/>
        </w:rPr>
      </w:pPr>
      <w:r>
        <w:rPr>
          <w:noProof/>
        </w:rPr>
        <w:t>Visio Standard 2016, 18</w:t>
      </w:r>
    </w:p>
    <w:p w14:paraId="419EC08F" w14:textId="77777777" w:rsidR="000237B7" w:rsidRDefault="000237B7">
      <w:pPr>
        <w:pStyle w:val="Index1"/>
        <w:tabs>
          <w:tab w:val="right" w:leader="dot" w:pos="5030"/>
        </w:tabs>
        <w:rPr>
          <w:noProof/>
        </w:rPr>
      </w:pPr>
      <w:r>
        <w:rPr>
          <w:noProof/>
        </w:rPr>
        <w:t>Visual Studio 2013, 28</w:t>
      </w:r>
    </w:p>
    <w:p w14:paraId="024DF74F" w14:textId="77777777" w:rsidR="000237B7" w:rsidRDefault="000237B7">
      <w:pPr>
        <w:pStyle w:val="Index1"/>
        <w:tabs>
          <w:tab w:val="right" w:leader="dot" w:pos="5030"/>
        </w:tabs>
        <w:rPr>
          <w:noProof/>
        </w:rPr>
      </w:pPr>
      <w:r>
        <w:rPr>
          <w:noProof/>
        </w:rPr>
        <w:t>Visual Studio 2015 Professional, 28</w:t>
      </w:r>
    </w:p>
    <w:p w14:paraId="04153E83" w14:textId="77777777" w:rsidR="000237B7" w:rsidRDefault="000237B7">
      <w:pPr>
        <w:pStyle w:val="Index1"/>
        <w:tabs>
          <w:tab w:val="right" w:leader="dot" w:pos="5030"/>
        </w:tabs>
        <w:rPr>
          <w:noProof/>
        </w:rPr>
      </w:pPr>
      <w:r w:rsidRPr="009720B4">
        <w:rPr>
          <w:noProof/>
          <w:lang w:val="pt-BR"/>
        </w:rPr>
        <w:t>Visual Studio Entreprise 2015</w:t>
      </w:r>
      <w:r>
        <w:rPr>
          <w:noProof/>
        </w:rPr>
        <w:t>, 28, 29</w:t>
      </w:r>
    </w:p>
    <w:p w14:paraId="3E0BCC88" w14:textId="77777777" w:rsidR="000237B7" w:rsidRDefault="000237B7">
      <w:pPr>
        <w:pStyle w:val="Index1"/>
        <w:tabs>
          <w:tab w:val="right" w:leader="dot" w:pos="5030"/>
        </w:tabs>
        <w:rPr>
          <w:noProof/>
        </w:rPr>
      </w:pPr>
      <w:r>
        <w:rPr>
          <w:noProof/>
        </w:rPr>
        <w:t>Visual Studio Team Foundation Server 2015, 29</w:t>
      </w:r>
    </w:p>
    <w:p w14:paraId="65B25CEE" w14:textId="77777777" w:rsidR="000237B7" w:rsidRDefault="000237B7">
      <w:pPr>
        <w:pStyle w:val="Index1"/>
        <w:tabs>
          <w:tab w:val="right" w:leader="dot" w:pos="5030"/>
        </w:tabs>
        <w:rPr>
          <w:noProof/>
        </w:rPr>
      </w:pPr>
      <w:r>
        <w:rPr>
          <w:noProof/>
        </w:rPr>
        <w:t>Visual Studio Team Foundation Server 2017, 29</w:t>
      </w:r>
    </w:p>
    <w:p w14:paraId="06A3F7B9" w14:textId="77777777" w:rsidR="000237B7" w:rsidRDefault="000237B7">
      <w:pPr>
        <w:pStyle w:val="Index1"/>
        <w:tabs>
          <w:tab w:val="right" w:leader="dot" w:pos="5030"/>
        </w:tabs>
        <w:rPr>
          <w:noProof/>
        </w:rPr>
      </w:pPr>
      <w:r>
        <w:rPr>
          <w:noProof/>
        </w:rPr>
        <w:t>Visual Studio Test Professional, 28</w:t>
      </w:r>
    </w:p>
    <w:p w14:paraId="5B631ED7" w14:textId="77777777" w:rsidR="000237B7" w:rsidRDefault="000237B7">
      <w:pPr>
        <w:pStyle w:val="Index1"/>
        <w:tabs>
          <w:tab w:val="right" w:leader="dot" w:pos="5030"/>
        </w:tabs>
        <w:rPr>
          <w:noProof/>
        </w:rPr>
      </w:pPr>
      <w:r>
        <w:rPr>
          <w:noProof/>
        </w:rPr>
        <w:t>Visual Studio Test Professional 2015, 28, 29</w:t>
      </w:r>
    </w:p>
    <w:p w14:paraId="04A30583" w14:textId="77777777" w:rsidR="000237B7" w:rsidRDefault="000237B7">
      <w:pPr>
        <w:pStyle w:val="Index1"/>
        <w:tabs>
          <w:tab w:val="right" w:leader="dot" w:pos="5030"/>
        </w:tabs>
        <w:rPr>
          <w:noProof/>
        </w:rPr>
      </w:pPr>
      <w:r>
        <w:rPr>
          <w:noProof/>
        </w:rPr>
        <w:t>Windows Server 2012, 30</w:t>
      </w:r>
    </w:p>
    <w:p w14:paraId="7D17192D" w14:textId="77777777" w:rsidR="000237B7" w:rsidRDefault="000237B7">
      <w:pPr>
        <w:pStyle w:val="Index1"/>
        <w:tabs>
          <w:tab w:val="right" w:leader="dot" w:pos="5030"/>
        </w:tabs>
        <w:rPr>
          <w:noProof/>
        </w:rPr>
      </w:pPr>
      <w:r>
        <w:rPr>
          <w:noProof/>
        </w:rPr>
        <w:t>Windows Server 2016 Active Directory Rights Management, 30, 31</w:t>
      </w:r>
    </w:p>
    <w:p w14:paraId="7A2DC217" w14:textId="77777777" w:rsidR="000237B7" w:rsidRDefault="000237B7">
      <w:pPr>
        <w:pStyle w:val="Index1"/>
        <w:tabs>
          <w:tab w:val="right" w:leader="dot" w:pos="5030"/>
        </w:tabs>
        <w:rPr>
          <w:noProof/>
        </w:rPr>
      </w:pPr>
      <w:r>
        <w:rPr>
          <w:noProof/>
        </w:rPr>
        <w:t>Windows Server 2016 Datacenter, 30</w:t>
      </w:r>
    </w:p>
    <w:p w14:paraId="487BD82D" w14:textId="77777777" w:rsidR="000237B7" w:rsidRDefault="000237B7">
      <w:pPr>
        <w:pStyle w:val="Index1"/>
        <w:tabs>
          <w:tab w:val="right" w:leader="dot" w:pos="5030"/>
        </w:tabs>
        <w:rPr>
          <w:noProof/>
        </w:rPr>
      </w:pPr>
      <w:r>
        <w:rPr>
          <w:noProof/>
        </w:rPr>
        <w:t>Windows Server 2016 Essentials, 30</w:t>
      </w:r>
    </w:p>
    <w:p w14:paraId="52211EDF" w14:textId="77777777" w:rsidR="000237B7" w:rsidRDefault="000237B7">
      <w:pPr>
        <w:pStyle w:val="Index1"/>
        <w:tabs>
          <w:tab w:val="right" w:leader="dot" w:pos="5030"/>
        </w:tabs>
        <w:rPr>
          <w:noProof/>
        </w:rPr>
      </w:pPr>
      <w:r>
        <w:rPr>
          <w:noProof/>
        </w:rPr>
        <w:t>Windows Server 2016 Standard, 30</w:t>
      </w:r>
    </w:p>
    <w:p w14:paraId="5BAA39C3" w14:textId="77777777" w:rsidR="000237B7" w:rsidRDefault="000237B7">
      <w:pPr>
        <w:pStyle w:val="Index1"/>
        <w:tabs>
          <w:tab w:val="right" w:leader="dot" w:pos="5030"/>
        </w:tabs>
        <w:rPr>
          <w:noProof/>
        </w:rPr>
      </w:pPr>
      <w:r>
        <w:rPr>
          <w:noProof/>
        </w:rPr>
        <w:t>Windows Server Datacenter, 11, 24</w:t>
      </w:r>
    </w:p>
    <w:p w14:paraId="2C76C522" w14:textId="77777777" w:rsidR="000237B7" w:rsidRDefault="000237B7">
      <w:pPr>
        <w:pStyle w:val="Index1"/>
        <w:tabs>
          <w:tab w:val="right" w:leader="dot" w:pos="5030"/>
        </w:tabs>
        <w:rPr>
          <w:noProof/>
        </w:rPr>
      </w:pPr>
      <w:r>
        <w:rPr>
          <w:noProof/>
        </w:rPr>
        <w:t>Windows Server Standard, 11, 24</w:t>
      </w:r>
    </w:p>
    <w:p w14:paraId="7A52CE3E" w14:textId="55BF272B" w:rsidR="000237B7" w:rsidRDefault="000237B7" w:rsidP="002024BF">
      <w:pPr>
        <w:pStyle w:val="ProductList-Body"/>
        <w:tabs>
          <w:tab w:val="clear" w:pos="360"/>
          <w:tab w:val="clear" w:pos="720"/>
          <w:tab w:val="clear" w:pos="1080"/>
        </w:tabs>
        <w:rPr>
          <w:noProof/>
        </w:rPr>
        <w:sectPr w:rsidR="000237B7" w:rsidSect="000237B7">
          <w:type w:val="continuous"/>
          <w:pgSz w:w="12240" w:h="15840"/>
          <w:pgMar w:top="1166" w:right="720" w:bottom="720" w:left="720" w:header="720" w:footer="720" w:gutter="0"/>
          <w:cols w:num="2" w:space="720"/>
          <w:titlePg/>
          <w:docGrid w:linePitch="360"/>
        </w:sectPr>
      </w:pPr>
    </w:p>
    <w:p w14:paraId="79C06F61" w14:textId="624B3590"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237B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AC77C" w14:textId="77777777" w:rsidR="00913DC6" w:rsidRDefault="00913DC6" w:rsidP="009A573F">
      <w:pPr>
        <w:spacing w:after="0" w:line="240" w:lineRule="auto"/>
      </w:pPr>
      <w:r>
        <w:separator/>
      </w:r>
    </w:p>
  </w:endnote>
  <w:endnote w:type="continuationSeparator" w:id="0">
    <w:p w14:paraId="14515FFA" w14:textId="77777777" w:rsidR="00913DC6" w:rsidRDefault="00913DC6" w:rsidP="009A573F">
      <w:pPr>
        <w:spacing w:after="0" w:line="240" w:lineRule="auto"/>
      </w:pPr>
      <w:r>
        <w:continuationSeparator/>
      </w:r>
    </w:p>
  </w:endnote>
  <w:endnote w:type="continuationNotice" w:id="1">
    <w:p w14:paraId="5934B005" w14:textId="77777777" w:rsidR="00913DC6" w:rsidRDefault="0091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2498" w14:textId="77777777" w:rsidR="000E031F" w:rsidRDefault="000E031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08B8" w14:textId="77777777"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8BCB540" w14:textId="77777777" w:rsidTr="00944F69">
      <w:tc>
        <w:tcPr>
          <w:tcW w:w="1705" w:type="dxa"/>
          <w:shd w:val="clear" w:color="auto" w:fill="F2F2F2" w:themeFill="background1" w:themeFillShade="F2"/>
          <w:vAlign w:val="center"/>
        </w:tcPr>
        <w:p w14:paraId="6FE03E5A" w14:textId="77777777" w:rsidR="00E36FEE" w:rsidRPr="00C76DF3" w:rsidRDefault="00913DC6"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8C4F5CA"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E36FEE" w:rsidRPr="00C76DF3" w:rsidRDefault="00913DC6"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11F3E97"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E36FEE" w:rsidRPr="00C76DF3" w:rsidRDefault="00913DC6"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522FCF8"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E36FEE" w:rsidRPr="00C76DF3" w:rsidRDefault="00913DC6"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003F92"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E36FEE" w:rsidRPr="00C76DF3" w:rsidRDefault="00913DC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E36FEE" w:rsidRPr="00C76DF3" w:rsidRDefault="00913DC6"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A8246FF" w14:textId="77777777" w:rsidR="00E36FEE" w:rsidRPr="00383BC7" w:rsidRDefault="00E36FE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E36FEE"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FBC2F84" w14:textId="77777777" w:rsidTr="003C5D6B">
      <w:tc>
        <w:tcPr>
          <w:tcW w:w="1705" w:type="dxa"/>
          <w:shd w:val="clear" w:color="auto" w:fill="F2F2F2" w:themeFill="background1" w:themeFillShade="F2"/>
          <w:vAlign w:val="center"/>
        </w:tcPr>
        <w:p w14:paraId="16E78551" w14:textId="77777777" w:rsidR="00E36FEE" w:rsidRPr="00C76DF3" w:rsidRDefault="00913DC6"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AF24160"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490F12"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E36FEE" w:rsidRPr="00C76DF3" w:rsidRDefault="00913DC6"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412DCC0"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E36FEE" w:rsidRPr="00C76DF3" w:rsidRDefault="00913DC6"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476D253"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E36FEE" w:rsidRPr="00C76DF3" w:rsidRDefault="00913DC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7781FE" w14:textId="77777777" w:rsidR="00E36FEE" w:rsidRPr="00383BC7" w:rsidRDefault="00E36FEE"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7BEBB86" w14:textId="77777777" w:rsidTr="00A74916">
      <w:tc>
        <w:tcPr>
          <w:tcW w:w="1705" w:type="dxa"/>
          <w:shd w:val="clear" w:color="auto" w:fill="F2F2F2" w:themeFill="background1" w:themeFillShade="F2"/>
          <w:vAlign w:val="center"/>
        </w:tcPr>
        <w:p w14:paraId="6D7E20A1" w14:textId="77777777" w:rsidR="00E36FEE" w:rsidRPr="00C76DF3" w:rsidRDefault="00913DC6" w:rsidP="00A74916">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B6AA4A" w14:textId="77777777" w:rsidR="00E36FEE" w:rsidRPr="00C76DF3" w:rsidRDefault="00E36FE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36FEE" w:rsidRPr="00C76DF3" w:rsidRDefault="00913DC6" w:rsidP="00A74916">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865D78A" w14:textId="77777777" w:rsidR="00E36FEE" w:rsidRPr="00C76DF3" w:rsidRDefault="00E36FE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36FEE" w:rsidRPr="00C76DF3" w:rsidRDefault="00913DC6" w:rsidP="00A74916">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FD90A9D" w14:textId="77777777" w:rsidR="00E36FEE" w:rsidRPr="00C76DF3" w:rsidRDefault="00E36FE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36FEE" w:rsidRPr="00C76DF3" w:rsidRDefault="00913DC6"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18CDBC1" w14:textId="77777777" w:rsidR="00E36FEE" w:rsidRPr="00C76DF3" w:rsidRDefault="00E36FE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36FEE" w:rsidRPr="00C76DF3" w:rsidRDefault="00913DC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E36FEE" w:rsidRPr="00C76DF3" w:rsidRDefault="00E36FE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36FEE" w:rsidRPr="00C76DF3" w:rsidRDefault="00913DC6" w:rsidP="00A74916">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02DEA" w14:textId="77777777" w:rsidR="00E36FEE" w:rsidRDefault="00E36FE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0BBDA55" w14:textId="77777777" w:rsidTr="00E36FEE">
      <w:tc>
        <w:tcPr>
          <w:tcW w:w="1255" w:type="dxa"/>
          <w:shd w:val="clear" w:color="auto" w:fill="F2F2F2" w:themeFill="background1" w:themeFillShade="F2"/>
          <w:vAlign w:val="center"/>
        </w:tcPr>
        <w:p w14:paraId="4649409E" w14:textId="77777777" w:rsidR="00E36FEE" w:rsidRPr="00C76DF3" w:rsidRDefault="00913DC6"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340D849"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A6E168A"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E36FEE" w:rsidRPr="00C76DF3" w:rsidRDefault="00913DC6"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4B045918"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E36FEE" w:rsidRPr="00C76DF3" w:rsidRDefault="00913DC6"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4BEE3C4"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E36FEE" w:rsidRPr="00C76DF3" w:rsidRDefault="00913DC6"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4047F9B"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E36FEE" w:rsidRPr="00C76DF3" w:rsidRDefault="00913DC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E36FEE" w:rsidRPr="00C76DF3" w:rsidRDefault="00913DC6"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E573185"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1B3A80D" w14:textId="77777777" w:rsidR="00E36FEE" w:rsidRDefault="00E36FEE"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C649670" w14:textId="77777777" w:rsidTr="00EA3FA8">
      <w:tc>
        <w:tcPr>
          <w:tcW w:w="1255" w:type="dxa"/>
          <w:shd w:val="clear" w:color="auto" w:fill="F2F2F2" w:themeFill="background1" w:themeFillShade="F2"/>
          <w:vAlign w:val="center"/>
        </w:tcPr>
        <w:p w14:paraId="175B9B23"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05B5EF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85D1FF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01D3C31"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357336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5CFE3D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4BDD804"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9EC1CDC" w14:textId="77777777" w:rsidR="00E36FEE" w:rsidRDefault="00E36FE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7B63D" w14:textId="77777777" w:rsidR="000237B7" w:rsidRDefault="000237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37B7" w:rsidRPr="00C76DF3" w14:paraId="6755B18C" w14:textId="77777777" w:rsidTr="001478FB">
      <w:tc>
        <w:tcPr>
          <w:tcW w:w="1705" w:type="dxa"/>
          <w:shd w:val="clear" w:color="auto" w:fill="F2F2F2" w:themeFill="background1" w:themeFillShade="F2"/>
          <w:vAlign w:val="center"/>
        </w:tcPr>
        <w:p w14:paraId="20372059" w14:textId="77777777" w:rsidR="000237B7" w:rsidRPr="00C76DF3" w:rsidRDefault="00913DC6" w:rsidP="00383BC7">
          <w:pPr>
            <w:pStyle w:val="ProductList-OfferingBody"/>
            <w:ind w:left="-77" w:right="-73"/>
            <w:jc w:val="center"/>
            <w:rPr>
              <w:color w:val="808080" w:themeColor="background1" w:themeShade="80"/>
              <w:sz w:val="14"/>
              <w:szCs w:val="14"/>
            </w:rPr>
          </w:pPr>
          <w:hyperlink w:anchor="TableOfContents" w:history="1">
            <w:r w:rsidR="000237B7">
              <w:rPr>
                <w:rStyle w:val="Hyperlink"/>
                <w:sz w:val="14"/>
                <w:szCs w:val="14"/>
              </w:rPr>
              <w:t>Table des matières</w:t>
            </w:r>
          </w:hyperlink>
        </w:p>
      </w:tc>
      <w:tc>
        <w:tcPr>
          <w:tcW w:w="181" w:type="dxa"/>
          <w:tcBorders>
            <w:top w:val="nil"/>
            <w:bottom w:val="nil"/>
          </w:tcBorders>
          <w:vAlign w:val="center"/>
        </w:tcPr>
        <w:p w14:paraId="7DE0B62B" w14:textId="77777777" w:rsidR="000237B7" w:rsidRPr="00C76DF3" w:rsidRDefault="000237B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0237B7" w:rsidRPr="00C76DF3" w:rsidRDefault="00913DC6" w:rsidP="00383BC7">
          <w:pPr>
            <w:pStyle w:val="ProductList-OfferingBody"/>
            <w:ind w:left="-72" w:right="-74"/>
            <w:jc w:val="center"/>
            <w:rPr>
              <w:color w:val="808080" w:themeColor="background1" w:themeShade="80"/>
              <w:sz w:val="14"/>
              <w:szCs w:val="14"/>
            </w:rPr>
          </w:pPr>
          <w:hyperlink w:anchor="Introduction" w:history="1">
            <w:r w:rsidR="000237B7">
              <w:rPr>
                <w:rStyle w:val="Hyperlink"/>
                <w:sz w:val="14"/>
                <w:szCs w:val="14"/>
              </w:rPr>
              <w:t>Introduction</w:t>
            </w:r>
          </w:hyperlink>
        </w:p>
      </w:tc>
      <w:tc>
        <w:tcPr>
          <w:tcW w:w="182" w:type="dxa"/>
          <w:tcBorders>
            <w:top w:val="nil"/>
            <w:bottom w:val="nil"/>
          </w:tcBorders>
          <w:vAlign w:val="center"/>
        </w:tcPr>
        <w:p w14:paraId="586AF36F" w14:textId="77777777" w:rsidR="000237B7" w:rsidRPr="00C76DF3" w:rsidRDefault="000237B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0237B7" w:rsidRPr="00C76DF3" w:rsidRDefault="00913DC6" w:rsidP="00383BC7">
          <w:pPr>
            <w:pStyle w:val="ProductList-OfferingBody"/>
            <w:ind w:left="-72" w:right="-75"/>
            <w:jc w:val="center"/>
            <w:rPr>
              <w:color w:val="808080" w:themeColor="background1" w:themeShade="80"/>
              <w:sz w:val="14"/>
              <w:szCs w:val="14"/>
            </w:rPr>
          </w:pPr>
          <w:hyperlink w:anchor="LicenseTerms" w:history="1">
            <w:r w:rsidR="000237B7">
              <w:rPr>
                <w:rStyle w:val="Hyperlink"/>
                <w:sz w:val="14"/>
                <w:szCs w:val="14"/>
              </w:rPr>
              <w:t>Termes du Contrat de Licence</w:t>
            </w:r>
          </w:hyperlink>
        </w:p>
      </w:tc>
      <w:tc>
        <w:tcPr>
          <w:tcW w:w="183" w:type="dxa"/>
          <w:tcBorders>
            <w:top w:val="nil"/>
            <w:bottom w:val="nil"/>
          </w:tcBorders>
          <w:vAlign w:val="center"/>
        </w:tcPr>
        <w:p w14:paraId="06627379" w14:textId="77777777" w:rsidR="000237B7" w:rsidRPr="00C76DF3" w:rsidRDefault="000237B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0237B7" w:rsidRPr="00C76DF3" w:rsidRDefault="00913DC6" w:rsidP="00383BC7">
          <w:pPr>
            <w:pStyle w:val="ProductList-OfferingBody"/>
            <w:ind w:left="-72" w:right="-77"/>
            <w:jc w:val="center"/>
            <w:rPr>
              <w:color w:val="808080" w:themeColor="background1" w:themeShade="80"/>
              <w:sz w:val="14"/>
              <w:szCs w:val="14"/>
            </w:rPr>
          </w:pPr>
          <w:hyperlink w:anchor="ProductLicensing" w:history="1">
            <w:r w:rsidR="000237B7">
              <w:rPr>
                <w:rStyle w:val="Hyperlink"/>
                <w:sz w:val="14"/>
                <w:szCs w:val="14"/>
              </w:rPr>
              <w:t>Entrées Produit</w:t>
            </w:r>
          </w:hyperlink>
        </w:p>
      </w:tc>
      <w:tc>
        <w:tcPr>
          <w:tcW w:w="185" w:type="dxa"/>
          <w:tcBorders>
            <w:top w:val="nil"/>
            <w:bottom w:val="nil"/>
          </w:tcBorders>
          <w:vAlign w:val="center"/>
        </w:tcPr>
        <w:p w14:paraId="08477E52" w14:textId="77777777" w:rsidR="000237B7" w:rsidRPr="00C76DF3" w:rsidRDefault="000237B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0237B7" w:rsidRPr="00C76DF3" w:rsidRDefault="00913DC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37B7">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0237B7" w:rsidRPr="00C76DF3" w:rsidRDefault="000237B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0237B7" w:rsidRPr="00C76DF3" w:rsidRDefault="00913DC6" w:rsidP="00383BC7">
          <w:pPr>
            <w:pStyle w:val="ProductList-OfferingBody"/>
            <w:ind w:left="-72" w:right="-74"/>
            <w:jc w:val="center"/>
            <w:rPr>
              <w:color w:val="808080" w:themeColor="background1" w:themeShade="80"/>
              <w:sz w:val="14"/>
              <w:szCs w:val="14"/>
            </w:rPr>
          </w:pPr>
          <w:hyperlink w:anchor="Index" w:history="1">
            <w:r w:rsidR="000237B7">
              <w:rPr>
                <w:rStyle w:val="Hyperlink"/>
                <w:sz w:val="14"/>
                <w:szCs w:val="14"/>
              </w:rPr>
              <w:t>Index</w:t>
            </w:r>
          </w:hyperlink>
        </w:p>
      </w:tc>
    </w:tr>
  </w:tbl>
  <w:p w14:paraId="5D894118" w14:textId="77777777" w:rsidR="000237B7" w:rsidRPr="00383BC7" w:rsidRDefault="000237B7"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67B7198" w14:textId="77777777" w:rsidTr="00EA3FA8">
      <w:tc>
        <w:tcPr>
          <w:tcW w:w="1255" w:type="dxa"/>
          <w:shd w:val="clear" w:color="auto" w:fill="F2F2F2" w:themeFill="background1" w:themeFillShade="F2"/>
          <w:vAlign w:val="center"/>
        </w:tcPr>
        <w:p w14:paraId="7E1DB5BC"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4D1DBBE"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553E0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9F6F227"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761DAF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013D4A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7EC8F1C"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8C18D89" w14:textId="77777777" w:rsidR="00E36FEE" w:rsidRDefault="00E36FEE"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9FB71D3" w14:textId="77777777" w:rsidTr="00A452DF">
      <w:tc>
        <w:tcPr>
          <w:tcW w:w="1255" w:type="dxa"/>
          <w:shd w:val="clear" w:color="auto" w:fill="F2F2F2" w:themeFill="background1" w:themeFillShade="F2"/>
          <w:vAlign w:val="center"/>
        </w:tcPr>
        <w:p w14:paraId="3EA67E1A" w14:textId="77777777" w:rsidR="00E36FEE" w:rsidRPr="00C76DF3" w:rsidRDefault="00913DC6" w:rsidP="00A452D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406E96" w14:textId="77777777" w:rsidR="00E36FEE" w:rsidRPr="00C76DF3" w:rsidRDefault="00E36FEE"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E36FEE" w:rsidRPr="00C76DF3" w:rsidRDefault="00913DC6" w:rsidP="00A452D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803C352" w14:textId="77777777" w:rsidR="00E36FEE" w:rsidRPr="00C76DF3" w:rsidRDefault="00E36FEE"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E36FEE" w:rsidRPr="00C76DF3" w:rsidRDefault="00913DC6" w:rsidP="00A452D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6BE2957D" w14:textId="77777777" w:rsidR="00E36FEE" w:rsidRPr="00C76DF3" w:rsidRDefault="00E36FEE"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E36FEE" w:rsidRPr="00C76DF3" w:rsidRDefault="00913DC6" w:rsidP="00A452DF">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FC8EDA6"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E36FEE" w:rsidRPr="00C76DF3" w:rsidRDefault="00913DC6" w:rsidP="00A452DF">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0CA7C5A" w14:textId="77777777" w:rsidR="00E36FEE" w:rsidRPr="00C76DF3" w:rsidRDefault="00E36FEE"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E36FEE" w:rsidRPr="00C76DF3" w:rsidRDefault="00913DC6"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E36FEE" w:rsidRPr="00C76DF3" w:rsidRDefault="00913DC6" w:rsidP="00A452DF">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24948A5" w14:textId="77777777" w:rsidR="00E36FEE" w:rsidRPr="00C76DF3" w:rsidRDefault="00E36FEE"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E36FEE" w:rsidRPr="00C76DF3" w:rsidRDefault="00913DC6" w:rsidP="00A452D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E4AA290" w14:textId="77777777" w:rsidR="00E36FEE" w:rsidRDefault="00E36FEE"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7CDD6C2" w14:textId="77777777" w:rsidTr="00EA3FA8">
      <w:tc>
        <w:tcPr>
          <w:tcW w:w="1255" w:type="dxa"/>
          <w:shd w:val="clear" w:color="auto" w:fill="F2F2F2" w:themeFill="background1" w:themeFillShade="F2"/>
          <w:vAlign w:val="center"/>
        </w:tcPr>
        <w:p w14:paraId="50EFA74E"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F23866"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CA94F82"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E9B004E"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B91D006"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5146771"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2636FA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EB4B39B" w14:textId="77777777" w:rsidR="00E36FEE" w:rsidRDefault="00E36FE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E36FEE" w:rsidRPr="00372016" w:rsidRDefault="00E36FEE"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5A2D634" w14:textId="77777777" w:rsidTr="00CA55D9">
      <w:tc>
        <w:tcPr>
          <w:tcW w:w="1255" w:type="dxa"/>
          <w:shd w:val="clear" w:color="auto" w:fill="BFBFBF" w:themeFill="background1" w:themeFillShade="BF"/>
          <w:vAlign w:val="center"/>
        </w:tcPr>
        <w:p w14:paraId="2DBC2034"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52C338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F966FD9"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36FEE" w:rsidRPr="00C76DF3" w:rsidRDefault="00913DC6" w:rsidP="00370875">
          <w:pPr>
            <w:pStyle w:val="ProductList-OfferingBody"/>
            <w:ind w:left="-72" w:right="-75"/>
            <w:jc w:val="center"/>
            <w:rPr>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36FEE" w:rsidRPr="00C76DF3" w:rsidRDefault="00913DC6" w:rsidP="00370875">
          <w:pPr>
            <w:pStyle w:val="ProductList-OfferingBody"/>
            <w:ind w:left="-72" w:right="-77"/>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5" w:type="dxa"/>
          <w:tcBorders>
            <w:top w:val="nil"/>
            <w:bottom w:val="nil"/>
          </w:tcBorders>
          <w:vAlign w:val="center"/>
        </w:tcPr>
        <w:p w14:paraId="69800AFB"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0" w:type="dxa"/>
          <w:tcBorders>
            <w:top w:val="nil"/>
            <w:bottom w:val="nil"/>
          </w:tcBorders>
        </w:tcPr>
        <w:p w14:paraId="4F6F306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36FEE">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CB1671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3003BC5" w14:textId="77777777" w:rsidR="00E36FEE" w:rsidRDefault="00E36FE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E36FEE" w:rsidRPr="00337A21" w:rsidRDefault="00E36FEE"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2049ED8" w14:textId="77777777" w:rsidTr="00192ADB">
      <w:tc>
        <w:tcPr>
          <w:tcW w:w="1705" w:type="dxa"/>
          <w:shd w:val="clear" w:color="auto" w:fill="F2F2F2" w:themeFill="background1" w:themeFillShade="F2"/>
          <w:vAlign w:val="center"/>
        </w:tcPr>
        <w:p w14:paraId="0B62D2BD" w14:textId="77777777" w:rsidR="00E36FEE" w:rsidRPr="00C76DF3" w:rsidRDefault="00913DC6"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93B4C9D"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36FEE" w:rsidRPr="00C76DF3" w:rsidRDefault="00913DC6"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9BFDE7D"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36FEE" w:rsidRPr="00C76DF3" w:rsidRDefault="00913DC6"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574602"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36FEE" w:rsidRPr="00C76DF3" w:rsidRDefault="00913DC6"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F606E4B"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36FEE" w:rsidRPr="00C76DF3" w:rsidRDefault="00913DC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36FEE" w:rsidRPr="00C76DF3" w:rsidRDefault="00913DC6"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A1ECA" w14:textId="77777777" w:rsidR="00E36FEE" w:rsidRPr="004B69C2" w:rsidRDefault="00E36FEE"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F68E318" w14:textId="77777777" w:rsidTr="004F44B2">
      <w:tc>
        <w:tcPr>
          <w:tcW w:w="1705" w:type="dxa"/>
          <w:shd w:val="clear" w:color="auto" w:fill="F2F2F2" w:themeFill="background1" w:themeFillShade="F2"/>
          <w:vAlign w:val="center"/>
        </w:tcPr>
        <w:p w14:paraId="7D186825" w14:textId="77777777" w:rsidR="00E36FEE" w:rsidRPr="00C76DF3" w:rsidRDefault="00913DC6"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C603ED1"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36FEE" w:rsidRPr="00C76DF3" w:rsidRDefault="00913DC6"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BDDECB1"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36FEE" w:rsidRPr="00C76DF3" w:rsidRDefault="00913DC6"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626B07"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36FEE" w:rsidRPr="00C76DF3" w:rsidRDefault="00913DC6"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5CD9B11"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36FEE" w:rsidRPr="00C76DF3" w:rsidRDefault="00913DC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36FEE" w:rsidRPr="00C76DF3" w:rsidRDefault="00913DC6"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84A45CA" w14:textId="77777777" w:rsidR="00E36FEE" w:rsidRDefault="00E36FE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050F560" w14:textId="77777777" w:rsidTr="00EA3FA8">
      <w:tc>
        <w:tcPr>
          <w:tcW w:w="1255" w:type="dxa"/>
          <w:shd w:val="clear" w:color="auto" w:fill="F2F2F2" w:themeFill="background1" w:themeFillShade="F2"/>
          <w:vAlign w:val="center"/>
        </w:tcPr>
        <w:p w14:paraId="0C175BDE"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72C0A58"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F5C8E5F"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1717674"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EF328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F3DBF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95C535"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E222F7" w14:textId="77777777" w:rsidR="00E36FEE" w:rsidRDefault="00E36FE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F18F4C5" w14:textId="77777777" w:rsidTr="00EA3FA8">
      <w:tc>
        <w:tcPr>
          <w:tcW w:w="1255" w:type="dxa"/>
          <w:shd w:val="clear" w:color="auto" w:fill="F2F2F2" w:themeFill="background1" w:themeFillShade="F2"/>
          <w:vAlign w:val="center"/>
        </w:tcPr>
        <w:p w14:paraId="06FFC0C0"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C9230E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CA1638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D3DFB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9BC6DC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131CE1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C6E662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B72D89F" w14:textId="77777777" w:rsidR="00E36FEE" w:rsidRDefault="00E36FE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F3724C" w14:textId="77777777" w:rsidTr="00EA3FA8">
      <w:tc>
        <w:tcPr>
          <w:tcW w:w="1255" w:type="dxa"/>
          <w:shd w:val="clear" w:color="auto" w:fill="F2F2F2" w:themeFill="background1" w:themeFillShade="F2"/>
          <w:vAlign w:val="center"/>
        </w:tcPr>
        <w:p w14:paraId="259F1622"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320EA7F"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8ACE0A7"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BC3920"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0938A90"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00AA10"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BE6EFB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C74B829" w14:textId="77777777" w:rsidR="00E36FEE" w:rsidRDefault="00E36FE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0CF0455" w14:textId="77777777" w:rsidTr="00EA3FA8">
      <w:tc>
        <w:tcPr>
          <w:tcW w:w="1255" w:type="dxa"/>
          <w:shd w:val="clear" w:color="auto" w:fill="F2F2F2" w:themeFill="background1" w:themeFillShade="F2"/>
          <w:vAlign w:val="center"/>
        </w:tcPr>
        <w:p w14:paraId="777FB387"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91726D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588F4E"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EF78E2D"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B03122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FCB791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01E44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0E5E2DB" w14:textId="77777777" w:rsidR="00E36FEE" w:rsidRDefault="00E36FE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38F2193" w14:textId="77777777" w:rsidTr="00EA3FA8">
      <w:tc>
        <w:tcPr>
          <w:tcW w:w="1255" w:type="dxa"/>
          <w:shd w:val="clear" w:color="auto" w:fill="F2F2F2" w:themeFill="background1" w:themeFillShade="F2"/>
          <w:vAlign w:val="center"/>
        </w:tcPr>
        <w:p w14:paraId="78F5F8C8"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F561415"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0D7BEA6"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832353"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E36FEE" w:rsidRPr="00C76DF3" w:rsidRDefault="00913DC6" w:rsidP="00370875">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F209A5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700183A"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3C7F9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507E343" w14:textId="77777777" w:rsidR="00E36FEE" w:rsidRDefault="00E36FE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AF6E84" w14:textId="77777777" w:rsidTr="00944F69">
      <w:tc>
        <w:tcPr>
          <w:tcW w:w="1255" w:type="dxa"/>
          <w:shd w:val="clear" w:color="auto" w:fill="F2F2F2" w:themeFill="background1" w:themeFillShade="F2"/>
          <w:vAlign w:val="center"/>
        </w:tcPr>
        <w:p w14:paraId="4EA1C150" w14:textId="77777777" w:rsidR="00E36FEE" w:rsidRPr="00C76DF3" w:rsidRDefault="00913DC6" w:rsidP="00944F69">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E81F148"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36FEE" w:rsidRPr="00C76DF3" w:rsidRDefault="00913DC6"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A71E13"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36FEE" w:rsidRPr="00C76DF3" w:rsidRDefault="00913DC6"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1F0ED60"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36FEE" w:rsidRPr="00C76DF3" w:rsidRDefault="00913DC6" w:rsidP="00944F69">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3DC446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36FEE" w:rsidRPr="00C76DF3" w:rsidRDefault="00913DC6" w:rsidP="00944F69">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32BA5C7" w14:textId="77777777" w:rsidR="00E36FEE" w:rsidRPr="00C76DF3" w:rsidRDefault="00E36FEE"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36FEE" w:rsidRPr="00C76DF3" w:rsidRDefault="00913DC6"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36FEE" w:rsidRPr="00C76DF3" w:rsidRDefault="00913DC6" w:rsidP="00944F69">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948E44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36FEE" w:rsidRPr="00C76DF3" w:rsidRDefault="00913DC6"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2FB4DD" w14:textId="77777777" w:rsidR="00E36FEE" w:rsidRDefault="00E36FEE" w:rsidP="00944F69">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9A3ACD4" w14:textId="77777777" w:rsidTr="00EA3FA8">
      <w:tc>
        <w:tcPr>
          <w:tcW w:w="1255" w:type="dxa"/>
          <w:shd w:val="clear" w:color="auto" w:fill="F2F2F2" w:themeFill="background1" w:themeFillShade="F2"/>
          <w:vAlign w:val="center"/>
        </w:tcPr>
        <w:p w14:paraId="1F14D9BF"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DF23F2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D1A67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EDCD2C5"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783C46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44CED59"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0E86013E"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72A1E27" w14:textId="77777777" w:rsidR="00E36FEE" w:rsidRDefault="00E36FE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745D0BC" w14:textId="77777777" w:rsidTr="00EA3FA8">
      <w:tc>
        <w:tcPr>
          <w:tcW w:w="1255" w:type="dxa"/>
          <w:shd w:val="clear" w:color="auto" w:fill="F2F2F2" w:themeFill="background1" w:themeFillShade="F2"/>
          <w:vAlign w:val="center"/>
        </w:tcPr>
        <w:p w14:paraId="2FB28B89"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F9FD0CC"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F89CC8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E6E59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E812E4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7D9FF5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A9B665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C65752A" w14:textId="77777777" w:rsidR="00E36FEE" w:rsidRDefault="00E36FE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36FEE" w:rsidRDefault="00E36FE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A243"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E36FEE" w:rsidRPr="00C76DF3" w:rsidRDefault="00913DC6"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B63A5B3"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FCEF90"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E36FEE" w:rsidRPr="00C76DF3" w:rsidRDefault="00913DC6"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586E54F"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E36FEE" w:rsidRPr="00C76DF3" w:rsidRDefault="00913DC6"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FB9A76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E36FEE" w:rsidRPr="00C76DF3" w:rsidRDefault="00913DC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E1A6508" w14:textId="77777777" w:rsidR="00E36FEE" w:rsidRPr="00BF0916" w:rsidRDefault="00E36FEE"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8B7DE41" w14:textId="77777777" w:rsidTr="00E36FEE">
      <w:tc>
        <w:tcPr>
          <w:tcW w:w="1255" w:type="dxa"/>
          <w:shd w:val="clear" w:color="auto" w:fill="F2F2F2" w:themeFill="background1" w:themeFillShade="F2"/>
          <w:vAlign w:val="center"/>
        </w:tcPr>
        <w:p w14:paraId="695CDEDC" w14:textId="77777777" w:rsidR="00E36FEE" w:rsidRPr="00C76DF3" w:rsidRDefault="00913DC6"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ADE7D0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DA9805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E36FEE" w:rsidRPr="00C76DF3" w:rsidRDefault="00913DC6"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FE6DBB"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E36FEE" w:rsidRPr="00C76DF3" w:rsidRDefault="00913DC6"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0D6B51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E36FEE" w:rsidRPr="00C76DF3" w:rsidRDefault="00913DC6"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23273EA"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E36FEE" w:rsidRPr="00C76DF3" w:rsidRDefault="00913DC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E36FEE" w:rsidRPr="00C76DF3" w:rsidRDefault="00913DC6"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AB4FEB3"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63630" w14:textId="77777777" w:rsidR="00E36FEE" w:rsidRDefault="00E36FEE" w:rsidP="00E36FEE">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7952"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E36FEE" w:rsidRPr="00C76DF3" w:rsidRDefault="00913DC6"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98FB57C"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53E8AD2"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E36FEE" w:rsidRPr="00C76DF3" w:rsidRDefault="00913DC6"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ACD5044"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E36FEE" w:rsidRPr="00C76DF3" w:rsidRDefault="00913DC6"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7161E893"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E36FEE" w:rsidRPr="00C76DF3" w:rsidRDefault="00913DC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78318DE" w14:textId="77777777" w:rsidR="00E36FEE" w:rsidRPr="00BF0916" w:rsidRDefault="00E36FEE" w:rsidP="00E36FEE">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5A0D2FF" w14:textId="77777777" w:rsidTr="00EA3FA8">
      <w:tc>
        <w:tcPr>
          <w:tcW w:w="1255" w:type="dxa"/>
          <w:shd w:val="clear" w:color="auto" w:fill="F2F2F2" w:themeFill="background1" w:themeFillShade="F2"/>
          <w:vAlign w:val="center"/>
        </w:tcPr>
        <w:p w14:paraId="055B61A7"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DBDF293"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645AE9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1A7A566"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A7B312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A5D4983"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2DF8F0"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5CB37B6" w14:textId="77777777" w:rsidR="00E36FEE" w:rsidRDefault="00E36FEE"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D97EBD2" w14:textId="77777777" w:rsidTr="00EA3FA8">
      <w:tc>
        <w:tcPr>
          <w:tcW w:w="1255" w:type="dxa"/>
          <w:shd w:val="clear" w:color="auto" w:fill="F2F2F2" w:themeFill="background1" w:themeFillShade="F2"/>
          <w:vAlign w:val="center"/>
        </w:tcPr>
        <w:p w14:paraId="17586081"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47B01F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5D7AAC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56996C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2D26DC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7208CE7"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F80BF6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783EC308" w14:textId="77777777" w:rsidR="00E36FEE" w:rsidRDefault="00E36FE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3F50E3D" w14:textId="77777777" w:rsidTr="00EA3FA8">
      <w:tc>
        <w:tcPr>
          <w:tcW w:w="1255" w:type="dxa"/>
          <w:shd w:val="clear" w:color="auto" w:fill="F2F2F2" w:themeFill="background1" w:themeFillShade="F2"/>
          <w:vAlign w:val="center"/>
        </w:tcPr>
        <w:p w14:paraId="5194E69E"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60121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AE8E35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710BAD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51234A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959C79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E663F6A"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B30077D" w14:textId="77777777" w:rsidR="00E36FEE" w:rsidRDefault="00E36FE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593C0B0" w14:textId="77777777" w:rsidTr="00EA3FA8">
      <w:tc>
        <w:tcPr>
          <w:tcW w:w="1255" w:type="dxa"/>
          <w:shd w:val="clear" w:color="auto" w:fill="F2F2F2" w:themeFill="background1" w:themeFillShade="F2"/>
          <w:vAlign w:val="center"/>
        </w:tcPr>
        <w:p w14:paraId="0604D76E"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2C93C94"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A82290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2D6D90A"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6FF7EF0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64783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10BA0B6"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053CDF2" w14:textId="77777777" w:rsidR="00E36FEE" w:rsidRDefault="00E36FE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DF8168A" w14:textId="77777777" w:rsidTr="00E36FEE">
      <w:tc>
        <w:tcPr>
          <w:tcW w:w="1255" w:type="dxa"/>
          <w:shd w:val="clear" w:color="auto" w:fill="F2F2F2" w:themeFill="background1" w:themeFillShade="F2"/>
          <w:vAlign w:val="center"/>
        </w:tcPr>
        <w:p w14:paraId="3A9A9D4A" w14:textId="77777777" w:rsidR="00E36FEE" w:rsidRPr="00C76DF3" w:rsidRDefault="00913DC6"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90ED8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F37C7F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E36FEE" w:rsidRPr="00C76DF3" w:rsidRDefault="00913DC6"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76607C95"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E36FEE" w:rsidRPr="00C76DF3" w:rsidRDefault="00913DC6"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7C8623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E36FEE" w:rsidRPr="00C76DF3" w:rsidRDefault="00913DC6"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175FE27D"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E36FEE" w:rsidRPr="00C76DF3" w:rsidRDefault="00913DC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E36FEE" w:rsidRPr="00C76DF3" w:rsidRDefault="00913DC6"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062B0F"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E36FEE" w:rsidRPr="00C76DF3" w:rsidRDefault="00913DC6"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858F90" w14:textId="77777777" w:rsidR="00E36FEE" w:rsidRDefault="00E36FEE" w:rsidP="00E36FEE">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CCC4069" w14:textId="77777777" w:rsidTr="00EA3FA8">
      <w:tc>
        <w:tcPr>
          <w:tcW w:w="1255" w:type="dxa"/>
          <w:shd w:val="clear" w:color="auto" w:fill="F2F2F2" w:themeFill="background1" w:themeFillShade="F2"/>
          <w:vAlign w:val="center"/>
        </w:tcPr>
        <w:p w14:paraId="26A8FF1E" w14:textId="77777777" w:rsidR="00E36FEE" w:rsidRPr="00C76DF3" w:rsidRDefault="00913DC6"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C4FD81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591D950"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36FEE" w:rsidRPr="00C76DF3" w:rsidRDefault="00913DC6"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6F96B5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36FEE" w:rsidRPr="00C76DF3" w:rsidRDefault="00913DC6"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6C7E42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36FEE" w:rsidRPr="00C76DF3" w:rsidRDefault="00913DC6"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3B946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36FEE" w:rsidRPr="00C76DF3" w:rsidRDefault="00913DC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36FEE" w:rsidRPr="00C76DF3" w:rsidRDefault="00913DC6"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FD638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36FEE" w:rsidRPr="00C76DF3" w:rsidRDefault="00913DC6"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FB804" w14:textId="77777777" w:rsidR="00E36FEE" w:rsidRDefault="00E36FE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F895" w14:textId="77777777" w:rsidR="0097182E" w:rsidRDefault="0097182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7182E"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97182E" w:rsidRPr="00C76DF3" w:rsidRDefault="00913DC6" w:rsidP="009052E7">
          <w:pPr>
            <w:pStyle w:val="ProductList-OfferingBody"/>
            <w:ind w:left="-77" w:right="-73"/>
            <w:jc w:val="center"/>
            <w:rPr>
              <w:color w:val="808080" w:themeColor="background1" w:themeShade="80"/>
              <w:sz w:val="14"/>
              <w:szCs w:val="14"/>
            </w:rPr>
          </w:pPr>
          <w:hyperlink w:anchor="TableOfContents" w:history="1">
            <w:r w:rsidR="0097182E" w:rsidRPr="00890A58">
              <w:rPr>
                <w:rStyle w:val="Hyperlink"/>
                <w:sz w:val="14"/>
                <w:szCs w:val="14"/>
              </w:rPr>
              <w:t>Table des matières</w:t>
            </w:r>
          </w:hyperlink>
        </w:p>
      </w:tc>
      <w:tc>
        <w:tcPr>
          <w:tcW w:w="181" w:type="dxa"/>
          <w:tcBorders>
            <w:top w:val="nil"/>
            <w:bottom w:val="nil"/>
          </w:tcBorders>
          <w:vAlign w:val="center"/>
        </w:tcPr>
        <w:p w14:paraId="3DE8AF5E" w14:textId="77777777" w:rsidR="0097182E" w:rsidRPr="00C76DF3" w:rsidRDefault="0097182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97182E" w:rsidRPr="00C76DF3" w:rsidRDefault="00913DC6" w:rsidP="009052E7">
          <w:pPr>
            <w:pStyle w:val="ProductList-OfferingBody"/>
            <w:ind w:left="-72" w:right="-74"/>
            <w:jc w:val="center"/>
            <w:rPr>
              <w:color w:val="808080" w:themeColor="background1" w:themeShade="80"/>
              <w:sz w:val="14"/>
              <w:szCs w:val="14"/>
            </w:rPr>
          </w:pPr>
          <w:hyperlink w:anchor="Introduction" w:history="1">
            <w:r w:rsidR="0097182E">
              <w:rPr>
                <w:rStyle w:val="Hyperlink"/>
                <w:sz w:val="14"/>
                <w:szCs w:val="14"/>
              </w:rPr>
              <w:t>Introduction</w:t>
            </w:r>
          </w:hyperlink>
        </w:p>
      </w:tc>
      <w:tc>
        <w:tcPr>
          <w:tcW w:w="182" w:type="dxa"/>
          <w:tcBorders>
            <w:top w:val="nil"/>
            <w:bottom w:val="nil"/>
          </w:tcBorders>
          <w:vAlign w:val="center"/>
        </w:tcPr>
        <w:p w14:paraId="6B230104" w14:textId="77777777" w:rsidR="0097182E" w:rsidRPr="00C76DF3" w:rsidRDefault="0097182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97182E" w:rsidRPr="00C76DF3" w:rsidRDefault="00913DC6" w:rsidP="009052E7">
          <w:pPr>
            <w:pStyle w:val="ProductList-OfferingBody"/>
            <w:ind w:left="-72" w:right="-75"/>
            <w:jc w:val="center"/>
            <w:rPr>
              <w:color w:val="808080" w:themeColor="background1" w:themeShade="80"/>
              <w:sz w:val="14"/>
              <w:szCs w:val="14"/>
            </w:rPr>
          </w:pPr>
          <w:hyperlink w:anchor="LicenseTerms" w:history="1">
            <w:r w:rsidR="0097182E">
              <w:rPr>
                <w:rStyle w:val="Hyperlink"/>
                <w:sz w:val="14"/>
                <w:szCs w:val="14"/>
              </w:rPr>
              <w:t>Conditions de Licence</w:t>
            </w:r>
          </w:hyperlink>
        </w:p>
      </w:tc>
      <w:tc>
        <w:tcPr>
          <w:tcW w:w="183" w:type="dxa"/>
          <w:tcBorders>
            <w:top w:val="nil"/>
            <w:bottom w:val="nil"/>
          </w:tcBorders>
          <w:vAlign w:val="center"/>
        </w:tcPr>
        <w:p w14:paraId="287E42C8" w14:textId="77777777" w:rsidR="0097182E" w:rsidRPr="00C76DF3" w:rsidRDefault="0097182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97182E" w:rsidRPr="00C76DF3" w:rsidRDefault="00913DC6" w:rsidP="009052E7">
          <w:pPr>
            <w:pStyle w:val="ProductList-OfferingBody"/>
            <w:ind w:left="-72" w:right="-77"/>
            <w:jc w:val="center"/>
            <w:rPr>
              <w:color w:val="808080" w:themeColor="background1" w:themeShade="80"/>
              <w:sz w:val="14"/>
              <w:szCs w:val="14"/>
            </w:rPr>
          </w:pPr>
          <w:hyperlink w:anchor="ProductLicensing" w:history="1">
            <w:r w:rsidR="0097182E">
              <w:rPr>
                <w:rStyle w:val="Hyperlink"/>
                <w:sz w:val="14"/>
                <w:szCs w:val="14"/>
              </w:rPr>
              <w:t>Entrées P</w:t>
            </w:r>
          </w:hyperlink>
          <w:r w:rsidR="0097182E">
            <w:rPr>
              <w:rStyle w:val="Hyperlink"/>
              <w:sz w:val="14"/>
              <w:szCs w:val="14"/>
            </w:rPr>
            <w:t>roduit</w:t>
          </w:r>
        </w:p>
      </w:tc>
      <w:tc>
        <w:tcPr>
          <w:tcW w:w="185" w:type="dxa"/>
          <w:tcBorders>
            <w:top w:val="nil"/>
            <w:bottom w:val="nil"/>
          </w:tcBorders>
          <w:vAlign w:val="center"/>
        </w:tcPr>
        <w:p w14:paraId="14EC935B" w14:textId="77777777" w:rsidR="0097182E" w:rsidRPr="00C76DF3" w:rsidRDefault="0097182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97182E" w:rsidRPr="00C76DF3" w:rsidRDefault="00913DC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97182E"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97182E" w:rsidRPr="00C76DF3" w:rsidRDefault="0097182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97182E" w:rsidRPr="00C76DF3" w:rsidRDefault="00913DC6" w:rsidP="009052E7">
          <w:pPr>
            <w:pStyle w:val="ProductList-OfferingBody"/>
            <w:ind w:left="-72" w:right="-74"/>
            <w:jc w:val="center"/>
            <w:rPr>
              <w:color w:val="808080" w:themeColor="background1" w:themeShade="80"/>
              <w:sz w:val="14"/>
              <w:szCs w:val="14"/>
            </w:rPr>
          </w:pPr>
          <w:hyperlink w:anchor="Index" w:history="1">
            <w:r w:rsidR="0097182E">
              <w:rPr>
                <w:rStyle w:val="Hyperlink"/>
                <w:sz w:val="14"/>
                <w:szCs w:val="14"/>
              </w:rPr>
              <w:t>Index</w:t>
            </w:r>
          </w:hyperlink>
        </w:p>
      </w:tc>
    </w:tr>
  </w:tbl>
  <w:p w14:paraId="19477396" w14:textId="77777777" w:rsidR="0097182E" w:rsidRPr="00BF0916" w:rsidRDefault="0097182E" w:rsidP="00E36FEE">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E36FEE" w:rsidRPr="00383BC7"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106444B" w14:textId="77777777" w:rsidTr="00944F69">
      <w:tc>
        <w:tcPr>
          <w:tcW w:w="1705" w:type="dxa"/>
          <w:shd w:val="clear" w:color="auto" w:fill="BFBFBF" w:themeFill="background1" w:themeFillShade="BF"/>
          <w:vAlign w:val="center"/>
        </w:tcPr>
        <w:p w14:paraId="606F52DF" w14:textId="77777777" w:rsidR="00E36FEE" w:rsidRPr="00C76DF3" w:rsidRDefault="00913DC6" w:rsidP="0053075E">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9CB1C7D" w14:textId="77777777" w:rsidR="00E36FEE" w:rsidRPr="00C76DF3" w:rsidRDefault="00E36FEE"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E36FEE" w:rsidRPr="00C76DF3" w:rsidRDefault="00913DC6" w:rsidP="0053075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CEF7023" w14:textId="77777777" w:rsidR="00E36FEE" w:rsidRPr="00C76DF3" w:rsidRDefault="00E36FEE"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E36FEE" w:rsidRPr="00C76DF3" w:rsidRDefault="00913DC6" w:rsidP="0053075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0B121B3" w14:textId="77777777" w:rsidR="00E36FEE" w:rsidRPr="00C76DF3" w:rsidRDefault="00E36FEE"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E36FEE" w:rsidRPr="00C76DF3" w:rsidRDefault="00913DC6" w:rsidP="0053075E">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00787DA" w14:textId="77777777" w:rsidR="00E36FEE" w:rsidRPr="00C76DF3" w:rsidRDefault="00E36FEE"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E36FEE" w:rsidRPr="00C76DF3" w:rsidRDefault="00913DC6" w:rsidP="0053075E">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E36FEE" w:rsidRPr="00C76DF3" w:rsidRDefault="00E36FEE"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E36FEE" w:rsidRPr="00C76DF3" w:rsidRDefault="00913DC6" w:rsidP="0053075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771BB39" w14:textId="77777777" w:rsidR="00E36FEE" w:rsidRPr="00383BC7" w:rsidRDefault="00E36FEE"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E36FEE" w:rsidRPr="00C76DF3" w:rsidRDefault="00913DC6"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D06152F"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E36FEE" w:rsidRPr="00C76DF3" w:rsidRDefault="00913DC6"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43EF992"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E36FEE" w:rsidRPr="00C76DF3" w:rsidRDefault="00913DC6"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B57DDC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E36FEE" w:rsidRPr="00C76DF3" w:rsidRDefault="00913DC6"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E8C330C"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E36FEE" w:rsidRPr="00C76DF3" w:rsidRDefault="00913DC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E36FEE" w:rsidRPr="00C76DF3" w:rsidRDefault="00913DC6"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617703" w14:textId="77777777" w:rsidR="00E36FEE" w:rsidRPr="00BF0916" w:rsidRDefault="00E36FEE"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E36FEE" w:rsidRPr="00C76DF3" w:rsidRDefault="00913DC6"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61C17E16"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E36FEE" w:rsidRPr="00C76DF3" w:rsidRDefault="00913DC6"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7CF7E9E"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E36FEE" w:rsidRPr="00C76DF3" w:rsidRDefault="00913DC6"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DE0F1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E36FEE" w:rsidRPr="00C76DF3" w:rsidRDefault="00913DC6"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20E3B9A1"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E36FEE" w:rsidRPr="00C76DF3" w:rsidRDefault="00913DC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E36FEE" w:rsidRPr="00C76DF3" w:rsidRDefault="00913DC6"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701A46" w14:textId="77777777" w:rsidR="00E36FEE" w:rsidRPr="00BF0916" w:rsidRDefault="00E36FEE"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66E7B83D" w14:textId="77777777" w:rsidTr="00E36FEE">
      <w:tc>
        <w:tcPr>
          <w:tcW w:w="1705" w:type="dxa"/>
          <w:shd w:val="clear" w:color="auto" w:fill="F2F2F2" w:themeFill="background1" w:themeFillShade="F2"/>
          <w:vAlign w:val="center"/>
        </w:tcPr>
        <w:p w14:paraId="7658C72A" w14:textId="77777777" w:rsidR="00E36FEE" w:rsidRPr="00C76DF3" w:rsidRDefault="00913DC6"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6DD7CE9"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E29808C"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E36FEE" w:rsidRPr="00C76DF3" w:rsidRDefault="00913DC6"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EDF5E9C"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E36FEE" w:rsidRPr="00C76DF3" w:rsidRDefault="00913DC6"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32D2AF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E36FEE" w:rsidRPr="00C76DF3" w:rsidRDefault="00913DC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E36FEE" w:rsidRPr="00C76DF3" w:rsidRDefault="00913DC6"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5876EE2" w14:textId="77777777" w:rsidR="00E36FEE" w:rsidRDefault="00E36FEE"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E36FEE" w:rsidRDefault="00E36FEE">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2F9696B8" w14:textId="77777777" w:rsidTr="00944F69">
      <w:tc>
        <w:tcPr>
          <w:tcW w:w="1705" w:type="dxa"/>
          <w:shd w:val="clear" w:color="auto" w:fill="F2F2F2" w:themeFill="background1" w:themeFillShade="F2"/>
          <w:vAlign w:val="center"/>
        </w:tcPr>
        <w:p w14:paraId="29FA5C02" w14:textId="77777777" w:rsidR="00E36FEE" w:rsidRPr="00C76DF3" w:rsidRDefault="00913DC6" w:rsidP="00944F69">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4A87C8A"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E36FEE" w:rsidRPr="00C76DF3" w:rsidRDefault="00913DC6"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CB611DD"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E36FEE" w:rsidRPr="00C76DF3" w:rsidRDefault="00913DC6"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6D4F7BE"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E36FEE" w:rsidRPr="00C76DF3" w:rsidRDefault="00913DC6" w:rsidP="00944F69">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B6F2EA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E36FEE" w:rsidRPr="00C76DF3" w:rsidRDefault="00913DC6" w:rsidP="00944F69">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E36FEE" w:rsidRPr="00C76DF3" w:rsidRDefault="00913DC6"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2AFB3" w14:textId="77777777" w:rsidR="00E36FEE" w:rsidRDefault="00E36FEE">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52C0C58D" w14:textId="77777777" w:rsidTr="003C5D6B">
      <w:tc>
        <w:tcPr>
          <w:tcW w:w="1705" w:type="dxa"/>
          <w:shd w:val="clear" w:color="auto" w:fill="F2F2F2" w:themeFill="background1" w:themeFillShade="F2"/>
          <w:vAlign w:val="center"/>
        </w:tcPr>
        <w:p w14:paraId="075B8C46" w14:textId="77777777" w:rsidR="00E36FEE" w:rsidRPr="00A34F97" w:rsidRDefault="00913DC6"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E210782"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9992EE7"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E36FEE" w:rsidRPr="00C76DF3" w:rsidRDefault="00913DC6"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9449D8A"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E36FEE" w:rsidRPr="00C76DF3" w:rsidRDefault="00913DC6"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3BBFC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E36FEE" w:rsidRPr="00C76DF3" w:rsidRDefault="00913DC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8678A0A" w14:textId="77777777" w:rsidR="00E36FEE" w:rsidRPr="0069785B" w:rsidRDefault="00E36FEE"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F1130C8" w14:textId="77777777" w:rsidTr="003C5D6B">
      <w:tc>
        <w:tcPr>
          <w:tcW w:w="1705" w:type="dxa"/>
          <w:shd w:val="clear" w:color="auto" w:fill="F2F2F2" w:themeFill="background1" w:themeFillShade="F2"/>
          <w:vAlign w:val="center"/>
        </w:tcPr>
        <w:p w14:paraId="6933552C" w14:textId="77777777" w:rsidR="00E36FEE" w:rsidRPr="00A34F97" w:rsidRDefault="00913DC6"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71576661"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3C15115"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E36FEE" w:rsidRPr="00C76DF3" w:rsidRDefault="00913DC6"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713CF29"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E36FEE" w:rsidRPr="00C76DF3" w:rsidRDefault="00913DC6"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F0D4E8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E36FEE" w:rsidRPr="00C76DF3" w:rsidRDefault="00913DC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E36FEE" w:rsidRPr="00C76DF3" w:rsidRDefault="00913DC6"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1893921" w14:textId="77777777" w:rsidR="00E36FEE" w:rsidRPr="0069785B" w:rsidRDefault="00E36FEE"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70F68B3" w14:textId="77777777" w:rsidTr="00944F69">
      <w:tc>
        <w:tcPr>
          <w:tcW w:w="1705" w:type="dxa"/>
          <w:shd w:val="clear" w:color="auto" w:fill="F2F2F2" w:themeFill="background1" w:themeFillShade="F2"/>
          <w:vAlign w:val="center"/>
        </w:tcPr>
        <w:p w14:paraId="0E58D773" w14:textId="160A778B" w:rsidR="00E36FEE" w:rsidRPr="00C76DF3" w:rsidRDefault="00913DC6"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14E0E61"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E36FEE" w:rsidRPr="00C76DF3" w:rsidRDefault="00913DC6"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64C56E6"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E36FEE" w:rsidRPr="00C76DF3" w:rsidRDefault="00913DC6"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6125636"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E36FEE" w:rsidRPr="00C76DF3" w:rsidRDefault="00913DC6"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0433838"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E36FEE" w:rsidRPr="00C76DF3" w:rsidRDefault="00913DC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E36FEE" w:rsidRPr="00C76DF3" w:rsidRDefault="00913DC6"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65215" w14:textId="77777777" w:rsidR="00E36FEE" w:rsidRPr="00383BC7" w:rsidRDefault="00E36FEE"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D6FB" w14:textId="77777777" w:rsidR="00913DC6" w:rsidRDefault="00913DC6" w:rsidP="009A573F">
      <w:pPr>
        <w:spacing w:after="0" w:line="240" w:lineRule="auto"/>
      </w:pPr>
      <w:r>
        <w:separator/>
      </w:r>
    </w:p>
  </w:footnote>
  <w:footnote w:type="continuationSeparator" w:id="0">
    <w:p w14:paraId="000D3D15" w14:textId="77777777" w:rsidR="00913DC6" w:rsidRDefault="00913DC6" w:rsidP="009A573F">
      <w:pPr>
        <w:spacing w:after="0" w:line="240" w:lineRule="auto"/>
      </w:pPr>
      <w:r>
        <w:continuationSeparator/>
      </w:r>
    </w:p>
  </w:footnote>
  <w:footnote w:type="continuationNotice" w:id="1">
    <w:p w14:paraId="1ED82794" w14:textId="77777777" w:rsidR="00913DC6" w:rsidRDefault="00913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10A3" w14:textId="77777777" w:rsidR="000E031F" w:rsidRDefault="000E0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18E100D" w:rsidR="00E36FEE" w:rsidRDefault="00E36FEE"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0237B7">
          <w:rPr>
            <w:sz w:val="16"/>
            <w:szCs w:val="16"/>
          </w:rPr>
          <w:t>février </w:t>
        </w:r>
        <w:r w:rsidR="00D43E7A">
          <w:rPr>
            <w:sz w:val="16"/>
            <w:szCs w:val="16"/>
          </w:rPr>
          <w:t>2017</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72315">
          <w:rPr>
            <w:noProof/>
            <w:sz w:val="16"/>
            <w:szCs w:val="16"/>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70B2" w14:textId="77777777" w:rsidR="000E031F" w:rsidRDefault="000E0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309E1D1" w:rsidR="00E36FEE" w:rsidRPr="00033BED" w:rsidRDefault="00E36FEE"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0237B7">
          <w:rPr>
            <w:sz w:val="16"/>
            <w:szCs w:val="16"/>
          </w:rPr>
          <w:t>février </w:t>
        </w:r>
        <w:r w:rsidR="00D43E7A">
          <w:rPr>
            <w:sz w:val="16"/>
            <w:szCs w:val="16"/>
          </w:rPr>
          <w:t>2017</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372315">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Vul8aAfC0R0mEDa22Hw4U4B24XQFtlYLsXgc18ga1QVoN+3HBlUBTV6gj1R92PAi7ds7U6p3ZXVT3iodFGjHUQ==" w:salt="clH4mNrf9hMb2mZBaUQe7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31F"/>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2315"/>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6727"/>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3E2"/>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0F7E"/>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3DC6"/>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0B5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8A32-AE25-4385-931B-5164D4F9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62527</Words>
  <Characters>356407</Characters>
  <Application>Microsoft Office Word</Application>
  <DocSecurity>8</DocSecurity>
  <Lines>2970</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2017-01-20T22:02:00Z</dcterms:created>
  <dcterms:modified xsi:type="dcterms:W3CDTF">2017-01-20T22:03:00Z</dcterms:modified>
</cp:coreProperties>
</file>