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3.xml" ContentType="application/vnd.openxmlformats-officedocument.wordprocessingml.footer+xml"/>
  <Override PartName="/word/footer44.xml" ContentType="application/vnd.openxmlformats-officedocument.wordprocessingml.footer+xml"/>
  <Override PartName="/word/footer4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763B57AC" w:rsidR="00016F75" w:rsidRPr="00F356CE" w:rsidRDefault="000D7763"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8E032C" w:rsidRPr="008E032C">
        <w:rPr>
          <w:rFonts w:asciiTheme="majorHAnsi" w:hAnsiTheme="majorHAnsi" w:cstheme="majorHAnsi"/>
          <w:color w:val="FFFFFF" w:themeColor="background1"/>
          <w:sz w:val="72"/>
          <w:szCs w:val="72"/>
        </w:rPr>
        <w:t>сентябрь</w:t>
      </w:r>
      <w:r>
        <w:rPr>
          <w:rFonts w:asciiTheme="majorHAnsi" w:hAnsiTheme="majorHAnsi"/>
          <w:color w:val="FFFFFF" w:themeColor="background1"/>
          <w:sz w:val="72"/>
          <w:szCs w:val="72"/>
        </w:rPr>
        <w:t xml:space="preserve"> </w:t>
      </w:r>
      <w:r w:rsidR="00016F75" w:rsidRPr="00F356CE">
        <w:rPr>
          <w:rFonts w:asciiTheme="majorHAnsi" w:hAnsiTheme="majorHAnsi"/>
          <w:color w:val="FFFFFF" w:themeColor="background1"/>
          <w:sz w:val="72"/>
          <w:szCs w:val="72"/>
        </w:rPr>
        <w:t>20</w:t>
      </w:r>
      <w:r w:rsidR="003A06C3">
        <w:rPr>
          <w:rFonts w:asciiTheme="majorHAnsi" w:hAnsiTheme="majorHAnsi"/>
          <w:color w:val="FFFFFF" w:themeColor="background1"/>
          <w:sz w:val="72"/>
          <w:szCs w:val="72"/>
          <w:lang w:val="en-US"/>
        </w:rPr>
        <w:t>20</w:t>
      </w:r>
      <w:r w:rsidR="00016F75" w:rsidRPr="00F356CE">
        <w:rPr>
          <w:rFonts w:asciiTheme="majorHAnsi" w:hAnsiTheme="majorHAnsi"/>
          <w:color w:val="FFFFFF" w:themeColor="background1"/>
          <w:sz w:val="72"/>
          <w:szCs w:val="72"/>
        </w:rPr>
        <w:t xml:space="preserve">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202063"/>
      <w:r>
        <w:lastRenderedPageBreak/>
        <w:t>Оглавление</w:t>
      </w:r>
      <w:bookmarkEnd w:id="1"/>
      <w:bookmarkEnd w:id="2"/>
    </w:p>
    <w:p w14:paraId="00DDF499" w14:textId="20309AFF" w:rsidR="008E032C"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48202063" w:history="1">
        <w:r w:rsidR="008E032C" w:rsidRPr="00D457A3">
          <w:rPr>
            <w:rStyle w:val="Hyperlink"/>
            <w:noProof/>
          </w:rPr>
          <w:t>Оглавление</w:t>
        </w:r>
        <w:r w:rsidR="008E032C">
          <w:rPr>
            <w:noProof/>
            <w:webHidden/>
          </w:rPr>
          <w:tab/>
        </w:r>
        <w:r w:rsidR="008E032C">
          <w:rPr>
            <w:noProof/>
            <w:webHidden/>
          </w:rPr>
          <w:fldChar w:fldCharType="begin"/>
        </w:r>
        <w:r w:rsidR="008E032C">
          <w:rPr>
            <w:noProof/>
            <w:webHidden/>
          </w:rPr>
          <w:instrText xml:space="preserve"> PAGEREF _Toc48202063 \h </w:instrText>
        </w:r>
        <w:r w:rsidR="008E032C">
          <w:rPr>
            <w:noProof/>
            <w:webHidden/>
          </w:rPr>
        </w:r>
        <w:r w:rsidR="008E032C">
          <w:rPr>
            <w:noProof/>
            <w:webHidden/>
          </w:rPr>
          <w:fldChar w:fldCharType="separate"/>
        </w:r>
        <w:r w:rsidR="008E032C">
          <w:rPr>
            <w:noProof/>
            <w:webHidden/>
          </w:rPr>
          <w:t>2</w:t>
        </w:r>
        <w:r w:rsidR="008E032C">
          <w:rPr>
            <w:noProof/>
            <w:webHidden/>
          </w:rPr>
          <w:fldChar w:fldCharType="end"/>
        </w:r>
      </w:hyperlink>
    </w:p>
    <w:p w14:paraId="5DFD32C6" w14:textId="430543AF" w:rsidR="008E032C" w:rsidRDefault="00E72D01">
      <w:pPr>
        <w:pStyle w:val="TOC1"/>
        <w:rPr>
          <w:rFonts w:eastAsiaTheme="minorEastAsia"/>
          <w:b w:val="0"/>
          <w:caps w:val="0"/>
          <w:noProof/>
          <w:sz w:val="22"/>
          <w:lang w:val="en-US" w:eastAsia="en-US" w:bidi="ar-SA"/>
        </w:rPr>
      </w:pPr>
      <w:hyperlink w:anchor="_Toc48202064" w:history="1">
        <w:r w:rsidR="008E032C" w:rsidRPr="00D457A3">
          <w:rPr>
            <w:rStyle w:val="Hyperlink"/>
            <w:noProof/>
          </w:rPr>
          <w:t>Введение</w:t>
        </w:r>
        <w:r w:rsidR="008E032C">
          <w:rPr>
            <w:noProof/>
            <w:webHidden/>
          </w:rPr>
          <w:tab/>
        </w:r>
        <w:r w:rsidR="008E032C">
          <w:rPr>
            <w:noProof/>
            <w:webHidden/>
          </w:rPr>
          <w:fldChar w:fldCharType="begin"/>
        </w:r>
        <w:r w:rsidR="008E032C">
          <w:rPr>
            <w:noProof/>
            <w:webHidden/>
          </w:rPr>
          <w:instrText xml:space="preserve"> PAGEREF _Toc48202064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5591CD2D" w14:textId="3122E174" w:rsidR="008E032C" w:rsidRDefault="00E72D01">
      <w:pPr>
        <w:pStyle w:val="TOC3"/>
        <w:tabs>
          <w:tab w:val="right" w:leader="dot" w:pos="5030"/>
        </w:tabs>
        <w:rPr>
          <w:rFonts w:eastAsiaTheme="minorEastAsia"/>
          <w:smallCaps w:val="0"/>
          <w:noProof/>
          <w:sz w:val="22"/>
          <w:lang w:val="en-US" w:eastAsia="en-US" w:bidi="ar-SA"/>
        </w:rPr>
      </w:pPr>
      <w:hyperlink w:anchor="_Toc48202065" w:history="1">
        <w:r w:rsidR="008E032C" w:rsidRPr="00D457A3">
          <w:rPr>
            <w:rStyle w:val="Hyperlink"/>
            <w:noProof/>
          </w:rPr>
          <w:t>Сведения о данном документе</w:t>
        </w:r>
        <w:r w:rsidR="008E032C">
          <w:rPr>
            <w:noProof/>
            <w:webHidden/>
          </w:rPr>
          <w:tab/>
        </w:r>
        <w:r w:rsidR="008E032C">
          <w:rPr>
            <w:noProof/>
            <w:webHidden/>
          </w:rPr>
          <w:fldChar w:fldCharType="begin"/>
        </w:r>
        <w:r w:rsidR="008E032C">
          <w:rPr>
            <w:noProof/>
            <w:webHidden/>
          </w:rPr>
          <w:instrText xml:space="preserve"> PAGEREF _Toc48202065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55791083" w14:textId="3DB0055D" w:rsidR="008E032C" w:rsidRDefault="00E72D01">
      <w:pPr>
        <w:pStyle w:val="TOC3"/>
        <w:tabs>
          <w:tab w:val="right" w:leader="dot" w:pos="5030"/>
        </w:tabs>
        <w:rPr>
          <w:rFonts w:eastAsiaTheme="minorEastAsia"/>
          <w:smallCaps w:val="0"/>
          <w:noProof/>
          <w:sz w:val="22"/>
          <w:lang w:val="en-US" w:eastAsia="en-US" w:bidi="ar-SA"/>
        </w:rPr>
      </w:pPr>
      <w:hyperlink w:anchor="_Toc48202066" w:history="1">
        <w:r w:rsidR="008E032C" w:rsidRPr="00D457A3">
          <w:rPr>
            <w:rStyle w:val="Hyperlink"/>
            <w:noProof/>
          </w:rPr>
          <w:t>Содержимое данного документа</w:t>
        </w:r>
        <w:r w:rsidR="008E032C">
          <w:rPr>
            <w:noProof/>
            <w:webHidden/>
          </w:rPr>
          <w:tab/>
        </w:r>
        <w:r w:rsidR="008E032C">
          <w:rPr>
            <w:noProof/>
            <w:webHidden/>
          </w:rPr>
          <w:fldChar w:fldCharType="begin"/>
        </w:r>
        <w:r w:rsidR="008E032C">
          <w:rPr>
            <w:noProof/>
            <w:webHidden/>
          </w:rPr>
          <w:instrText xml:space="preserve"> PAGEREF _Toc48202066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207B5147" w14:textId="14176012" w:rsidR="008E032C" w:rsidRDefault="00E72D01">
      <w:pPr>
        <w:pStyle w:val="TOC3"/>
        <w:tabs>
          <w:tab w:val="right" w:leader="dot" w:pos="5030"/>
        </w:tabs>
        <w:rPr>
          <w:rFonts w:eastAsiaTheme="minorEastAsia"/>
          <w:smallCaps w:val="0"/>
          <w:noProof/>
          <w:sz w:val="22"/>
          <w:lang w:val="en-US" w:eastAsia="en-US" w:bidi="ar-SA"/>
        </w:rPr>
      </w:pPr>
      <w:hyperlink w:anchor="_Toc48202067" w:history="1">
        <w:r w:rsidR="008E032C" w:rsidRPr="00D457A3">
          <w:rPr>
            <w:rStyle w:val="Hyperlink"/>
            <w:noProof/>
          </w:rPr>
          <w:t>Запись продукта</w:t>
        </w:r>
        <w:r w:rsidR="008E032C">
          <w:rPr>
            <w:noProof/>
            <w:webHidden/>
          </w:rPr>
          <w:tab/>
        </w:r>
        <w:r w:rsidR="008E032C">
          <w:rPr>
            <w:noProof/>
            <w:webHidden/>
          </w:rPr>
          <w:fldChar w:fldCharType="begin"/>
        </w:r>
        <w:r w:rsidR="008E032C">
          <w:rPr>
            <w:noProof/>
            <w:webHidden/>
          </w:rPr>
          <w:instrText xml:space="preserve"> PAGEREF _Toc48202067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35E9C28C" w14:textId="1B0A1CEE" w:rsidR="008E032C" w:rsidRDefault="00E72D01">
      <w:pPr>
        <w:pStyle w:val="TOC3"/>
        <w:tabs>
          <w:tab w:val="right" w:leader="dot" w:pos="5030"/>
        </w:tabs>
        <w:rPr>
          <w:rFonts w:eastAsiaTheme="minorEastAsia"/>
          <w:smallCaps w:val="0"/>
          <w:noProof/>
          <w:sz w:val="22"/>
          <w:lang w:val="en-US" w:eastAsia="en-US" w:bidi="ar-SA"/>
        </w:rPr>
      </w:pPr>
      <w:hyperlink w:anchor="_Toc48202068" w:history="1">
        <w:r w:rsidR="008E032C" w:rsidRPr="00D457A3">
          <w:rPr>
            <w:rStyle w:val="Hyperlink"/>
            <w:noProof/>
          </w:rPr>
          <w:t>Пояснения и сводка изменений в данном Документе</w:t>
        </w:r>
        <w:r w:rsidR="008E032C">
          <w:rPr>
            <w:noProof/>
            <w:webHidden/>
          </w:rPr>
          <w:tab/>
        </w:r>
        <w:r w:rsidR="008E032C">
          <w:rPr>
            <w:noProof/>
            <w:webHidden/>
          </w:rPr>
          <w:fldChar w:fldCharType="begin"/>
        </w:r>
        <w:r w:rsidR="008E032C">
          <w:rPr>
            <w:noProof/>
            <w:webHidden/>
          </w:rPr>
          <w:instrText xml:space="preserve"> PAGEREF _Toc48202068 \h </w:instrText>
        </w:r>
        <w:r w:rsidR="008E032C">
          <w:rPr>
            <w:noProof/>
            <w:webHidden/>
          </w:rPr>
        </w:r>
        <w:r w:rsidR="008E032C">
          <w:rPr>
            <w:noProof/>
            <w:webHidden/>
          </w:rPr>
          <w:fldChar w:fldCharType="separate"/>
        </w:r>
        <w:r w:rsidR="008E032C">
          <w:rPr>
            <w:noProof/>
            <w:webHidden/>
          </w:rPr>
          <w:t>3</w:t>
        </w:r>
        <w:r w:rsidR="008E032C">
          <w:rPr>
            <w:noProof/>
            <w:webHidden/>
          </w:rPr>
          <w:fldChar w:fldCharType="end"/>
        </w:r>
      </w:hyperlink>
    </w:p>
    <w:p w14:paraId="63D93FB6" w14:textId="281B3C69" w:rsidR="008E032C" w:rsidRDefault="00E72D01">
      <w:pPr>
        <w:pStyle w:val="TOC1"/>
        <w:rPr>
          <w:rFonts w:eastAsiaTheme="minorEastAsia"/>
          <w:b w:val="0"/>
          <w:caps w:val="0"/>
          <w:noProof/>
          <w:sz w:val="22"/>
          <w:lang w:val="en-US" w:eastAsia="en-US" w:bidi="ar-SA"/>
        </w:rPr>
      </w:pPr>
      <w:hyperlink w:anchor="_Toc48202069" w:history="1">
        <w:r w:rsidR="008E032C" w:rsidRPr="00D457A3">
          <w:rPr>
            <w:rStyle w:val="Hyperlink"/>
            <w:noProof/>
          </w:rPr>
          <w:t>Условия лицензии</w:t>
        </w:r>
        <w:r w:rsidR="008E032C">
          <w:rPr>
            <w:noProof/>
            <w:webHidden/>
          </w:rPr>
          <w:tab/>
        </w:r>
        <w:r w:rsidR="008E032C">
          <w:rPr>
            <w:noProof/>
            <w:webHidden/>
          </w:rPr>
          <w:fldChar w:fldCharType="begin"/>
        </w:r>
        <w:r w:rsidR="008E032C">
          <w:rPr>
            <w:noProof/>
            <w:webHidden/>
          </w:rPr>
          <w:instrText xml:space="preserve"> PAGEREF _Toc48202069 \h </w:instrText>
        </w:r>
        <w:r w:rsidR="008E032C">
          <w:rPr>
            <w:noProof/>
            <w:webHidden/>
          </w:rPr>
        </w:r>
        <w:r w:rsidR="008E032C">
          <w:rPr>
            <w:noProof/>
            <w:webHidden/>
          </w:rPr>
          <w:fldChar w:fldCharType="separate"/>
        </w:r>
        <w:r w:rsidR="008E032C">
          <w:rPr>
            <w:noProof/>
            <w:webHidden/>
          </w:rPr>
          <w:t>4</w:t>
        </w:r>
        <w:r w:rsidR="008E032C">
          <w:rPr>
            <w:noProof/>
            <w:webHidden/>
          </w:rPr>
          <w:fldChar w:fldCharType="end"/>
        </w:r>
      </w:hyperlink>
    </w:p>
    <w:p w14:paraId="206E1491" w14:textId="46EC8752" w:rsidR="008E032C" w:rsidRDefault="00E72D01">
      <w:pPr>
        <w:pStyle w:val="TOC2"/>
        <w:tabs>
          <w:tab w:val="right" w:leader="dot" w:pos="5030"/>
        </w:tabs>
        <w:rPr>
          <w:rFonts w:eastAsiaTheme="minorEastAsia"/>
          <w:b w:val="0"/>
          <w:smallCaps w:val="0"/>
          <w:noProof/>
          <w:sz w:val="22"/>
          <w:lang w:val="en-US" w:eastAsia="en-US" w:bidi="ar-SA"/>
        </w:rPr>
      </w:pPr>
      <w:hyperlink w:anchor="_Toc48202070" w:history="1">
        <w:r w:rsidR="008E032C" w:rsidRPr="00D457A3">
          <w:rPr>
            <w:rStyle w:val="Hyperlink"/>
            <w:noProof/>
          </w:rPr>
          <w:t>Универсальные условия лицензирования</w:t>
        </w:r>
        <w:r w:rsidR="008E032C">
          <w:rPr>
            <w:noProof/>
            <w:webHidden/>
          </w:rPr>
          <w:tab/>
        </w:r>
        <w:r w:rsidR="008E032C">
          <w:rPr>
            <w:noProof/>
            <w:webHidden/>
          </w:rPr>
          <w:fldChar w:fldCharType="begin"/>
        </w:r>
        <w:r w:rsidR="008E032C">
          <w:rPr>
            <w:noProof/>
            <w:webHidden/>
          </w:rPr>
          <w:instrText xml:space="preserve"> PAGEREF _Toc48202070 \h </w:instrText>
        </w:r>
        <w:r w:rsidR="008E032C">
          <w:rPr>
            <w:noProof/>
            <w:webHidden/>
          </w:rPr>
        </w:r>
        <w:r w:rsidR="008E032C">
          <w:rPr>
            <w:noProof/>
            <w:webHidden/>
          </w:rPr>
          <w:fldChar w:fldCharType="separate"/>
        </w:r>
        <w:r w:rsidR="008E032C">
          <w:rPr>
            <w:noProof/>
            <w:webHidden/>
          </w:rPr>
          <w:t>4</w:t>
        </w:r>
        <w:r w:rsidR="008E032C">
          <w:rPr>
            <w:noProof/>
            <w:webHidden/>
          </w:rPr>
          <w:fldChar w:fldCharType="end"/>
        </w:r>
      </w:hyperlink>
    </w:p>
    <w:p w14:paraId="3A17C449" w14:textId="77333002" w:rsidR="008E032C" w:rsidRDefault="00E72D01">
      <w:pPr>
        <w:pStyle w:val="TOC2"/>
        <w:tabs>
          <w:tab w:val="right" w:leader="dot" w:pos="5030"/>
        </w:tabs>
        <w:rPr>
          <w:rFonts w:eastAsiaTheme="minorEastAsia"/>
          <w:b w:val="0"/>
          <w:smallCaps w:val="0"/>
          <w:noProof/>
          <w:sz w:val="22"/>
          <w:lang w:val="en-US" w:eastAsia="en-US" w:bidi="ar-SA"/>
        </w:rPr>
      </w:pPr>
      <w:hyperlink w:anchor="_Toc48202071" w:history="1">
        <w:r w:rsidR="008E032C" w:rsidRPr="00D457A3">
          <w:rPr>
            <w:rStyle w:val="Hyperlink"/>
            <w:noProof/>
          </w:rPr>
          <w:t>Условия модели лицензирования</w:t>
        </w:r>
        <w:r w:rsidR="008E032C">
          <w:rPr>
            <w:noProof/>
            <w:webHidden/>
          </w:rPr>
          <w:tab/>
        </w:r>
        <w:r w:rsidR="008E032C">
          <w:rPr>
            <w:noProof/>
            <w:webHidden/>
          </w:rPr>
          <w:fldChar w:fldCharType="begin"/>
        </w:r>
        <w:r w:rsidR="008E032C">
          <w:rPr>
            <w:noProof/>
            <w:webHidden/>
          </w:rPr>
          <w:instrText xml:space="preserve"> PAGEREF _Toc48202071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3CD1F48B" w14:textId="5353D3C2" w:rsidR="008E032C" w:rsidRDefault="00E72D01">
      <w:pPr>
        <w:pStyle w:val="TOC4"/>
        <w:tabs>
          <w:tab w:val="right" w:leader="dot" w:pos="5030"/>
        </w:tabs>
        <w:rPr>
          <w:rFonts w:eastAsiaTheme="minorEastAsia"/>
          <w:smallCaps w:val="0"/>
          <w:noProof/>
          <w:sz w:val="22"/>
          <w:lang w:val="en-US" w:eastAsia="en-US" w:bidi="ar-SA"/>
        </w:rPr>
      </w:pPr>
      <w:hyperlink w:anchor="_Toc48202072" w:history="1">
        <w:r w:rsidR="008E032C" w:rsidRPr="00D457A3">
          <w:rPr>
            <w:rStyle w:val="Hyperlink"/>
            <w:noProof/>
          </w:rPr>
          <w:t>«На ядро» (для приложений)</w:t>
        </w:r>
        <w:r w:rsidR="008E032C">
          <w:rPr>
            <w:noProof/>
            <w:webHidden/>
          </w:rPr>
          <w:tab/>
        </w:r>
        <w:r w:rsidR="008E032C">
          <w:rPr>
            <w:noProof/>
            <w:webHidden/>
          </w:rPr>
          <w:fldChar w:fldCharType="begin"/>
        </w:r>
        <w:r w:rsidR="008E032C">
          <w:rPr>
            <w:noProof/>
            <w:webHidden/>
          </w:rPr>
          <w:instrText xml:space="preserve"> PAGEREF _Toc48202072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5D9F5209" w14:textId="06B3711D" w:rsidR="008E032C" w:rsidRDefault="00E72D01">
      <w:pPr>
        <w:pStyle w:val="TOC4"/>
        <w:tabs>
          <w:tab w:val="right" w:leader="dot" w:pos="5030"/>
        </w:tabs>
        <w:rPr>
          <w:rFonts w:eastAsiaTheme="minorEastAsia"/>
          <w:smallCaps w:val="0"/>
          <w:noProof/>
          <w:sz w:val="22"/>
          <w:lang w:val="en-US" w:eastAsia="en-US" w:bidi="ar-SA"/>
        </w:rPr>
      </w:pPr>
      <w:hyperlink w:anchor="_Toc48202073" w:history="1">
        <w:r w:rsidR="008E032C" w:rsidRPr="00D457A3">
          <w:rPr>
            <w:rStyle w:val="Hyperlink"/>
            <w:noProof/>
          </w:rPr>
          <w:t>«На ядро» (для систем управления)</w:t>
        </w:r>
        <w:r w:rsidR="008E032C">
          <w:rPr>
            <w:noProof/>
            <w:webHidden/>
          </w:rPr>
          <w:tab/>
        </w:r>
        <w:r w:rsidR="008E032C">
          <w:rPr>
            <w:noProof/>
            <w:webHidden/>
          </w:rPr>
          <w:fldChar w:fldCharType="begin"/>
        </w:r>
        <w:r w:rsidR="008E032C">
          <w:rPr>
            <w:noProof/>
            <w:webHidden/>
          </w:rPr>
          <w:instrText xml:space="preserve"> PAGEREF _Toc48202073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441AFF6E" w14:textId="4A62A82E" w:rsidR="008E032C" w:rsidRDefault="00E72D01">
      <w:pPr>
        <w:pStyle w:val="TOC4"/>
        <w:tabs>
          <w:tab w:val="right" w:leader="dot" w:pos="5030"/>
        </w:tabs>
        <w:rPr>
          <w:rFonts w:eastAsiaTheme="minorEastAsia"/>
          <w:smallCaps w:val="0"/>
          <w:noProof/>
          <w:sz w:val="22"/>
          <w:lang w:val="en-US" w:eastAsia="en-US" w:bidi="ar-SA"/>
        </w:rPr>
      </w:pPr>
      <w:hyperlink w:anchor="_Toc48202074" w:history="1">
        <w:r w:rsidR="008E032C" w:rsidRPr="00D457A3">
          <w:rPr>
            <w:rStyle w:val="Hyperlink"/>
            <w:noProof/>
          </w:rPr>
          <w:t>«На ядро» (ОС)</w:t>
        </w:r>
        <w:r w:rsidR="008E032C">
          <w:rPr>
            <w:noProof/>
            <w:webHidden/>
          </w:rPr>
          <w:tab/>
        </w:r>
        <w:r w:rsidR="008E032C">
          <w:rPr>
            <w:noProof/>
            <w:webHidden/>
          </w:rPr>
          <w:fldChar w:fldCharType="begin"/>
        </w:r>
        <w:r w:rsidR="008E032C">
          <w:rPr>
            <w:noProof/>
            <w:webHidden/>
          </w:rPr>
          <w:instrText xml:space="preserve"> PAGEREF _Toc48202074 \h </w:instrText>
        </w:r>
        <w:r w:rsidR="008E032C">
          <w:rPr>
            <w:noProof/>
            <w:webHidden/>
          </w:rPr>
        </w:r>
        <w:r w:rsidR="008E032C">
          <w:rPr>
            <w:noProof/>
            <w:webHidden/>
          </w:rPr>
          <w:fldChar w:fldCharType="separate"/>
        </w:r>
        <w:r w:rsidR="008E032C">
          <w:rPr>
            <w:noProof/>
            <w:webHidden/>
          </w:rPr>
          <w:t>8</w:t>
        </w:r>
        <w:r w:rsidR="008E032C">
          <w:rPr>
            <w:noProof/>
            <w:webHidden/>
          </w:rPr>
          <w:fldChar w:fldCharType="end"/>
        </w:r>
      </w:hyperlink>
    </w:p>
    <w:p w14:paraId="5AC608D5" w14:textId="7ED7997B" w:rsidR="008E032C" w:rsidRDefault="00E72D01">
      <w:pPr>
        <w:pStyle w:val="TOC4"/>
        <w:tabs>
          <w:tab w:val="right" w:leader="dot" w:pos="5030"/>
        </w:tabs>
        <w:rPr>
          <w:rFonts w:eastAsiaTheme="minorEastAsia"/>
          <w:smallCaps w:val="0"/>
          <w:noProof/>
          <w:sz w:val="22"/>
          <w:lang w:val="en-US" w:eastAsia="en-US" w:bidi="ar-SA"/>
        </w:rPr>
      </w:pPr>
      <w:hyperlink w:anchor="_Toc48202075" w:history="1">
        <w:r w:rsidR="008E032C" w:rsidRPr="00D457A3">
          <w:rPr>
            <w:rStyle w:val="Hyperlink"/>
            <w:noProof/>
          </w:rPr>
          <w:t>«На процессор»</w:t>
        </w:r>
        <w:r w:rsidR="008E032C">
          <w:rPr>
            <w:noProof/>
            <w:webHidden/>
          </w:rPr>
          <w:tab/>
        </w:r>
        <w:r w:rsidR="008E032C">
          <w:rPr>
            <w:noProof/>
            <w:webHidden/>
          </w:rPr>
          <w:fldChar w:fldCharType="begin"/>
        </w:r>
        <w:r w:rsidR="008E032C">
          <w:rPr>
            <w:noProof/>
            <w:webHidden/>
          </w:rPr>
          <w:instrText xml:space="preserve"> PAGEREF _Toc48202075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7A4DC677" w14:textId="449DB71A" w:rsidR="008E032C" w:rsidRDefault="00E72D01">
      <w:pPr>
        <w:pStyle w:val="TOC4"/>
        <w:tabs>
          <w:tab w:val="right" w:leader="dot" w:pos="5030"/>
        </w:tabs>
        <w:rPr>
          <w:rFonts w:eastAsiaTheme="minorEastAsia"/>
          <w:smallCaps w:val="0"/>
          <w:noProof/>
          <w:sz w:val="22"/>
          <w:lang w:val="en-US" w:eastAsia="en-US" w:bidi="ar-SA"/>
        </w:rPr>
      </w:pPr>
      <w:hyperlink w:anchor="_Toc48202076" w:history="1">
        <w:r w:rsidR="008E032C" w:rsidRPr="00D457A3">
          <w:rPr>
            <w:rStyle w:val="Hyperlink"/>
            <w:noProof/>
          </w:rPr>
          <w:t>Лицензии подписчика (SAL) для серверного программного обеспечения</w:t>
        </w:r>
        <w:r w:rsidR="008E032C">
          <w:rPr>
            <w:noProof/>
            <w:webHidden/>
          </w:rPr>
          <w:tab/>
        </w:r>
        <w:r w:rsidR="008E032C">
          <w:rPr>
            <w:noProof/>
            <w:webHidden/>
          </w:rPr>
          <w:fldChar w:fldCharType="begin"/>
        </w:r>
        <w:r w:rsidR="008E032C">
          <w:rPr>
            <w:noProof/>
            <w:webHidden/>
          </w:rPr>
          <w:instrText xml:space="preserve"> PAGEREF _Toc48202076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14C3C370" w14:textId="229A3C69" w:rsidR="008E032C" w:rsidRDefault="00E72D01">
      <w:pPr>
        <w:pStyle w:val="TOC4"/>
        <w:tabs>
          <w:tab w:val="right" w:leader="dot" w:pos="5030"/>
        </w:tabs>
        <w:rPr>
          <w:rFonts w:eastAsiaTheme="minorEastAsia"/>
          <w:smallCaps w:val="0"/>
          <w:noProof/>
          <w:sz w:val="22"/>
          <w:lang w:val="en-US" w:eastAsia="en-US" w:bidi="ar-SA"/>
        </w:rPr>
      </w:pPr>
      <w:hyperlink w:anchor="_Toc48202077" w:history="1">
        <w:r w:rsidR="008E032C" w:rsidRPr="00D457A3">
          <w:rPr>
            <w:rStyle w:val="Hyperlink"/>
            <w:noProof/>
          </w:rPr>
          <w:t>Лицензии подписчика (SAL) для серверов управления</w:t>
        </w:r>
        <w:r w:rsidR="008E032C">
          <w:rPr>
            <w:noProof/>
            <w:webHidden/>
          </w:rPr>
          <w:tab/>
        </w:r>
        <w:r w:rsidR="008E032C">
          <w:rPr>
            <w:noProof/>
            <w:webHidden/>
          </w:rPr>
          <w:fldChar w:fldCharType="begin"/>
        </w:r>
        <w:r w:rsidR="008E032C">
          <w:rPr>
            <w:noProof/>
            <w:webHidden/>
          </w:rPr>
          <w:instrText xml:space="preserve"> PAGEREF _Toc48202077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352D4B12" w14:textId="0953A839" w:rsidR="008E032C" w:rsidRDefault="00E72D01">
      <w:pPr>
        <w:pStyle w:val="TOC4"/>
        <w:tabs>
          <w:tab w:val="right" w:leader="dot" w:pos="5030"/>
        </w:tabs>
        <w:rPr>
          <w:rFonts w:eastAsiaTheme="minorEastAsia"/>
          <w:smallCaps w:val="0"/>
          <w:noProof/>
          <w:sz w:val="22"/>
          <w:lang w:val="en-US" w:eastAsia="en-US" w:bidi="ar-SA"/>
        </w:rPr>
      </w:pPr>
      <w:hyperlink w:anchor="_Toc48202078" w:history="1">
        <w:r w:rsidR="008E032C" w:rsidRPr="00D457A3">
          <w:rPr>
            <w:rStyle w:val="Hyperlink"/>
            <w:noProof/>
          </w:rPr>
          <w:t>Лицензии подписчика (SAL) для приложений для настольных компьютеров</w:t>
        </w:r>
        <w:r w:rsidR="008E032C">
          <w:rPr>
            <w:noProof/>
            <w:webHidden/>
          </w:rPr>
          <w:tab/>
        </w:r>
        <w:r w:rsidR="008E032C">
          <w:rPr>
            <w:noProof/>
            <w:webHidden/>
          </w:rPr>
          <w:fldChar w:fldCharType="begin"/>
        </w:r>
        <w:r w:rsidR="008E032C">
          <w:rPr>
            <w:noProof/>
            <w:webHidden/>
          </w:rPr>
          <w:instrText xml:space="preserve"> PAGEREF _Toc48202078 \h </w:instrText>
        </w:r>
        <w:r w:rsidR="008E032C">
          <w:rPr>
            <w:noProof/>
            <w:webHidden/>
          </w:rPr>
        </w:r>
        <w:r w:rsidR="008E032C">
          <w:rPr>
            <w:noProof/>
            <w:webHidden/>
          </w:rPr>
          <w:fldChar w:fldCharType="separate"/>
        </w:r>
        <w:r w:rsidR="008E032C">
          <w:rPr>
            <w:noProof/>
            <w:webHidden/>
          </w:rPr>
          <w:t>9</w:t>
        </w:r>
        <w:r w:rsidR="008E032C">
          <w:rPr>
            <w:noProof/>
            <w:webHidden/>
          </w:rPr>
          <w:fldChar w:fldCharType="end"/>
        </w:r>
      </w:hyperlink>
    </w:p>
    <w:p w14:paraId="25A5D1E6" w14:textId="5A578D08" w:rsidR="008E032C" w:rsidRDefault="00E72D01">
      <w:pPr>
        <w:pStyle w:val="TOC4"/>
        <w:tabs>
          <w:tab w:val="right" w:leader="dot" w:pos="5030"/>
        </w:tabs>
        <w:rPr>
          <w:rFonts w:eastAsiaTheme="minorEastAsia"/>
          <w:smallCaps w:val="0"/>
          <w:noProof/>
          <w:sz w:val="22"/>
          <w:lang w:val="en-US" w:eastAsia="en-US" w:bidi="ar-SA"/>
        </w:rPr>
      </w:pPr>
      <w:hyperlink w:anchor="_Toc48202079" w:history="1">
        <w:r w:rsidR="008E032C" w:rsidRPr="00D457A3">
          <w:rPr>
            <w:rStyle w:val="Hyperlink"/>
            <w:noProof/>
          </w:rPr>
          <w:t>Хост/гость</w:t>
        </w:r>
        <w:r w:rsidR="008E032C">
          <w:rPr>
            <w:noProof/>
            <w:webHidden/>
          </w:rPr>
          <w:tab/>
        </w:r>
        <w:r w:rsidR="008E032C">
          <w:rPr>
            <w:noProof/>
            <w:webHidden/>
          </w:rPr>
          <w:fldChar w:fldCharType="begin"/>
        </w:r>
        <w:r w:rsidR="008E032C">
          <w:rPr>
            <w:noProof/>
            <w:webHidden/>
          </w:rPr>
          <w:instrText xml:space="preserve"> PAGEREF _Toc48202079 \h </w:instrText>
        </w:r>
        <w:r w:rsidR="008E032C">
          <w:rPr>
            <w:noProof/>
            <w:webHidden/>
          </w:rPr>
        </w:r>
        <w:r w:rsidR="008E032C">
          <w:rPr>
            <w:noProof/>
            <w:webHidden/>
          </w:rPr>
          <w:fldChar w:fldCharType="separate"/>
        </w:r>
        <w:r w:rsidR="008E032C">
          <w:rPr>
            <w:noProof/>
            <w:webHidden/>
          </w:rPr>
          <w:t>10</w:t>
        </w:r>
        <w:r w:rsidR="008E032C">
          <w:rPr>
            <w:noProof/>
            <w:webHidden/>
          </w:rPr>
          <w:fldChar w:fldCharType="end"/>
        </w:r>
      </w:hyperlink>
    </w:p>
    <w:p w14:paraId="65722EA8" w14:textId="46D446BB" w:rsidR="008E032C" w:rsidRDefault="00E72D01">
      <w:pPr>
        <w:pStyle w:val="TOC1"/>
        <w:rPr>
          <w:rFonts w:eastAsiaTheme="minorEastAsia"/>
          <w:b w:val="0"/>
          <w:caps w:val="0"/>
          <w:noProof/>
          <w:sz w:val="22"/>
          <w:lang w:val="en-US" w:eastAsia="en-US" w:bidi="ar-SA"/>
        </w:rPr>
      </w:pPr>
      <w:hyperlink w:anchor="_Toc48202080" w:history="1">
        <w:r w:rsidR="008E032C" w:rsidRPr="00D457A3">
          <w:rPr>
            <w:rStyle w:val="Hyperlink"/>
            <w:noProof/>
          </w:rPr>
          <w:t>Записи продуктов</w:t>
        </w:r>
        <w:r w:rsidR="008E032C">
          <w:rPr>
            <w:noProof/>
            <w:webHidden/>
          </w:rPr>
          <w:tab/>
        </w:r>
        <w:r w:rsidR="008E032C">
          <w:rPr>
            <w:noProof/>
            <w:webHidden/>
          </w:rPr>
          <w:fldChar w:fldCharType="begin"/>
        </w:r>
        <w:r w:rsidR="008E032C">
          <w:rPr>
            <w:noProof/>
            <w:webHidden/>
          </w:rPr>
          <w:instrText xml:space="preserve"> PAGEREF _Toc48202080 \h </w:instrText>
        </w:r>
        <w:r w:rsidR="008E032C">
          <w:rPr>
            <w:noProof/>
            <w:webHidden/>
          </w:rPr>
        </w:r>
        <w:r w:rsidR="008E032C">
          <w:rPr>
            <w:noProof/>
            <w:webHidden/>
          </w:rPr>
          <w:fldChar w:fldCharType="separate"/>
        </w:r>
        <w:r w:rsidR="008E032C">
          <w:rPr>
            <w:noProof/>
            <w:webHidden/>
          </w:rPr>
          <w:t>11</w:t>
        </w:r>
        <w:r w:rsidR="008E032C">
          <w:rPr>
            <w:noProof/>
            <w:webHidden/>
          </w:rPr>
          <w:fldChar w:fldCharType="end"/>
        </w:r>
      </w:hyperlink>
    </w:p>
    <w:p w14:paraId="6874D585" w14:textId="6420BD22" w:rsidR="008E032C" w:rsidRDefault="00E72D01">
      <w:pPr>
        <w:pStyle w:val="TOC3"/>
        <w:tabs>
          <w:tab w:val="right" w:leader="dot" w:pos="5030"/>
        </w:tabs>
        <w:rPr>
          <w:rFonts w:eastAsiaTheme="minorEastAsia"/>
          <w:smallCaps w:val="0"/>
          <w:noProof/>
          <w:sz w:val="22"/>
          <w:lang w:val="en-US" w:eastAsia="en-US" w:bidi="ar-SA"/>
        </w:rPr>
      </w:pPr>
      <w:hyperlink w:anchor="_Toc48202081" w:history="1">
        <w:r w:rsidR="008E032C" w:rsidRPr="00D457A3">
          <w:rPr>
            <w:rStyle w:val="Hyperlink"/>
            <w:noProof/>
            <w:lang w:val="en-US"/>
          </w:rPr>
          <w:t>Advanced Threat Analytics</w:t>
        </w:r>
        <w:r w:rsidR="008E032C">
          <w:rPr>
            <w:noProof/>
            <w:webHidden/>
          </w:rPr>
          <w:tab/>
        </w:r>
        <w:r w:rsidR="008E032C">
          <w:rPr>
            <w:noProof/>
            <w:webHidden/>
          </w:rPr>
          <w:fldChar w:fldCharType="begin"/>
        </w:r>
        <w:r w:rsidR="008E032C">
          <w:rPr>
            <w:noProof/>
            <w:webHidden/>
          </w:rPr>
          <w:instrText xml:space="preserve"> PAGEREF _Toc48202081 \h </w:instrText>
        </w:r>
        <w:r w:rsidR="008E032C">
          <w:rPr>
            <w:noProof/>
            <w:webHidden/>
          </w:rPr>
        </w:r>
        <w:r w:rsidR="008E032C">
          <w:rPr>
            <w:noProof/>
            <w:webHidden/>
          </w:rPr>
          <w:fldChar w:fldCharType="separate"/>
        </w:r>
        <w:r w:rsidR="008E032C">
          <w:rPr>
            <w:noProof/>
            <w:webHidden/>
          </w:rPr>
          <w:t>11</w:t>
        </w:r>
        <w:r w:rsidR="008E032C">
          <w:rPr>
            <w:noProof/>
            <w:webHidden/>
          </w:rPr>
          <w:fldChar w:fldCharType="end"/>
        </w:r>
      </w:hyperlink>
    </w:p>
    <w:p w14:paraId="65303E22" w14:textId="33DD7068" w:rsidR="008E032C" w:rsidRDefault="00E72D01">
      <w:pPr>
        <w:pStyle w:val="TOC3"/>
        <w:tabs>
          <w:tab w:val="right" w:leader="dot" w:pos="5030"/>
        </w:tabs>
        <w:rPr>
          <w:rFonts w:eastAsiaTheme="minorEastAsia"/>
          <w:smallCaps w:val="0"/>
          <w:noProof/>
          <w:sz w:val="22"/>
          <w:lang w:val="en-US" w:eastAsia="en-US" w:bidi="ar-SA"/>
        </w:rPr>
      </w:pPr>
      <w:hyperlink w:anchor="_Toc48202082" w:history="1">
        <w:r w:rsidR="008E032C" w:rsidRPr="00D457A3">
          <w:rPr>
            <w:rStyle w:val="Hyperlink"/>
            <w:noProof/>
          </w:rPr>
          <w:t>BizTalk Server</w:t>
        </w:r>
        <w:r w:rsidR="008E032C">
          <w:rPr>
            <w:noProof/>
            <w:webHidden/>
          </w:rPr>
          <w:tab/>
        </w:r>
        <w:r w:rsidR="008E032C">
          <w:rPr>
            <w:noProof/>
            <w:webHidden/>
          </w:rPr>
          <w:fldChar w:fldCharType="begin"/>
        </w:r>
        <w:r w:rsidR="008E032C">
          <w:rPr>
            <w:noProof/>
            <w:webHidden/>
          </w:rPr>
          <w:instrText xml:space="preserve"> PAGEREF _Toc48202082 \h </w:instrText>
        </w:r>
        <w:r w:rsidR="008E032C">
          <w:rPr>
            <w:noProof/>
            <w:webHidden/>
          </w:rPr>
        </w:r>
        <w:r w:rsidR="008E032C">
          <w:rPr>
            <w:noProof/>
            <w:webHidden/>
          </w:rPr>
          <w:fldChar w:fldCharType="separate"/>
        </w:r>
        <w:r w:rsidR="008E032C">
          <w:rPr>
            <w:noProof/>
            <w:webHidden/>
          </w:rPr>
          <w:t>11</w:t>
        </w:r>
        <w:r w:rsidR="008E032C">
          <w:rPr>
            <w:noProof/>
            <w:webHidden/>
          </w:rPr>
          <w:fldChar w:fldCharType="end"/>
        </w:r>
      </w:hyperlink>
    </w:p>
    <w:p w14:paraId="06CC90FF" w14:textId="21D2BA4B" w:rsidR="008E032C" w:rsidRDefault="00E72D01">
      <w:pPr>
        <w:pStyle w:val="TOC3"/>
        <w:tabs>
          <w:tab w:val="right" w:leader="dot" w:pos="5030"/>
        </w:tabs>
        <w:rPr>
          <w:rFonts w:eastAsiaTheme="minorEastAsia"/>
          <w:smallCaps w:val="0"/>
          <w:noProof/>
          <w:sz w:val="22"/>
          <w:lang w:val="en-US" w:eastAsia="en-US" w:bidi="ar-SA"/>
        </w:rPr>
      </w:pPr>
      <w:hyperlink w:anchor="_Toc48202083" w:history="1">
        <w:r w:rsidR="008E032C" w:rsidRPr="00D457A3">
          <w:rPr>
            <w:rStyle w:val="Hyperlink"/>
            <w:noProof/>
            <w:lang w:val="en-US"/>
          </w:rPr>
          <w:t>Core</w:t>
        </w:r>
        <w:r w:rsidR="008E032C" w:rsidRPr="00D457A3">
          <w:rPr>
            <w:rStyle w:val="Hyperlink"/>
            <w:noProof/>
          </w:rPr>
          <w:t xml:space="preserve"> </w:t>
        </w:r>
        <w:r w:rsidR="008E032C" w:rsidRPr="00D457A3">
          <w:rPr>
            <w:rStyle w:val="Hyperlink"/>
            <w:noProof/>
            <w:lang w:val="en-US"/>
          </w:rPr>
          <w:t>Infrastructure</w:t>
        </w:r>
        <w:r w:rsidR="008E032C" w:rsidRPr="00D457A3">
          <w:rPr>
            <w:rStyle w:val="Hyperlink"/>
            <w:noProof/>
          </w:rPr>
          <w:t xml:space="preserve"> </w:t>
        </w:r>
        <w:r w:rsidR="008E032C" w:rsidRPr="00D457A3">
          <w:rPr>
            <w:rStyle w:val="Hyperlink"/>
            <w:noProof/>
            <w:lang w:val="en-US"/>
          </w:rPr>
          <w:t>Server</w:t>
        </w:r>
        <w:r w:rsidR="008E032C" w:rsidRPr="00D457A3">
          <w:rPr>
            <w:rStyle w:val="Hyperlink"/>
            <w:noProof/>
          </w:rPr>
          <w:t xml:space="preserve"> (</w:t>
        </w:r>
        <w:r w:rsidR="008E032C" w:rsidRPr="00D457A3">
          <w:rPr>
            <w:rStyle w:val="Hyperlink"/>
            <w:noProof/>
            <w:lang w:val="en-US"/>
          </w:rPr>
          <w:t>CIS</w:t>
        </w:r>
        <w:r w:rsidR="008E032C" w:rsidRPr="00D457A3">
          <w:rPr>
            <w:rStyle w:val="Hyperlink"/>
            <w:noProof/>
          </w:rPr>
          <w:t xml:space="preserve">) </w:t>
        </w:r>
        <w:r w:rsidR="008E032C" w:rsidRPr="00D457A3">
          <w:rPr>
            <w:rStyle w:val="Hyperlink"/>
            <w:noProof/>
            <w:lang w:val="en-US"/>
          </w:rPr>
          <w:t>Suite</w:t>
        </w:r>
        <w:r w:rsidR="008E032C">
          <w:rPr>
            <w:noProof/>
            <w:webHidden/>
          </w:rPr>
          <w:tab/>
        </w:r>
        <w:r w:rsidR="008E032C">
          <w:rPr>
            <w:noProof/>
            <w:webHidden/>
          </w:rPr>
          <w:fldChar w:fldCharType="begin"/>
        </w:r>
        <w:r w:rsidR="008E032C">
          <w:rPr>
            <w:noProof/>
            <w:webHidden/>
          </w:rPr>
          <w:instrText xml:space="preserve"> PAGEREF _Toc48202083 \h </w:instrText>
        </w:r>
        <w:r w:rsidR="008E032C">
          <w:rPr>
            <w:noProof/>
            <w:webHidden/>
          </w:rPr>
        </w:r>
        <w:r w:rsidR="008E032C">
          <w:rPr>
            <w:noProof/>
            <w:webHidden/>
          </w:rPr>
          <w:fldChar w:fldCharType="separate"/>
        </w:r>
        <w:r w:rsidR="008E032C">
          <w:rPr>
            <w:noProof/>
            <w:webHidden/>
          </w:rPr>
          <w:t>12</w:t>
        </w:r>
        <w:r w:rsidR="008E032C">
          <w:rPr>
            <w:noProof/>
            <w:webHidden/>
          </w:rPr>
          <w:fldChar w:fldCharType="end"/>
        </w:r>
      </w:hyperlink>
    </w:p>
    <w:p w14:paraId="70E336AA" w14:textId="330BB44C" w:rsidR="008E032C" w:rsidRDefault="00E72D01">
      <w:pPr>
        <w:pStyle w:val="TOC2"/>
        <w:tabs>
          <w:tab w:val="right" w:leader="dot" w:pos="5030"/>
        </w:tabs>
        <w:rPr>
          <w:rFonts w:eastAsiaTheme="minorEastAsia"/>
          <w:b w:val="0"/>
          <w:smallCaps w:val="0"/>
          <w:noProof/>
          <w:sz w:val="22"/>
          <w:lang w:val="en-US" w:eastAsia="en-US" w:bidi="ar-SA"/>
        </w:rPr>
      </w:pPr>
      <w:hyperlink w:anchor="_Toc48202084" w:history="1">
        <w:r w:rsidR="008E032C" w:rsidRPr="00D457A3">
          <w:rPr>
            <w:rStyle w:val="Hyperlink"/>
            <w:noProof/>
          </w:rPr>
          <w:t>Microsoft Dynamics</w:t>
        </w:r>
        <w:r w:rsidR="008E032C">
          <w:rPr>
            <w:noProof/>
            <w:webHidden/>
          </w:rPr>
          <w:tab/>
        </w:r>
        <w:r w:rsidR="008E032C">
          <w:rPr>
            <w:noProof/>
            <w:webHidden/>
          </w:rPr>
          <w:fldChar w:fldCharType="begin"/>
        </w:r>
        <w:r w:rsidR="008E032C">
          <w:rPr>
            <w:noProof/>
            <w:webHidden/>
          </w:rPr>
          <w:instrText xml:space="preserve"> PAGEREF _Toc48202084 \h </w:instrText>
        </w:r>
        <w:r w:rsidR="008E032C">
          <w:rPr>
            <w:noProof/>
            <w:webHidden/>
          </w:rPr>
        </w:r>
        <w:r w:rsidR="008E032C">
          <w:rPr>
            <w:noProof/>
            <w:webHidden/>
          </w:rPr>
          <w:fldChar w:fldCharType="separate"/>
        </w:r>
        <w:r w:rsidR="008E032C">
          <w:rPr>
            <w:noProof/>
            <w:webHidden/>
          </w:rPr>
          <w:t>13</w:t>
        </w:r>
        <w:r w:rsidR="008E032C">
          <w:rPr>
            <w:noProof/>
            <w:webHidden/>
          </w:rPr>
          <w:fldChar w:fldCharType="end"/>
        </w:r>
      </w:hyperlink>
    </w:p>
    <w:p w14:paraId="57B50228" w14:textId="635C9B3F" w:rsidR="008E032C" w:rsidRDefault="00E72D01">
      <w:pPr>
        <w:pStyle w:val="TOC4"/>
        <w:tabs>
          <w:tab w:val="right" w:leader="dot" w:pos="5030"/>
        </w:tabs>
        <w:rPr>
          <w:rFonts w:eastAsiaTheme="minorEastAsia"/>
          <w:smallCaps w:val="0"/>
          <w:noProof/>
          <w:sz w:val="22"/>
          <w:lang w:val="en-US" w:eastAsia="en-US" w:bidi="ar-SA"/>
        </w:rPr>
      </w:pPr>
      <w:hyperlink w:anchor="_Toc48202085" w:history="1">
        <w:r w:rsidR="008E032C" w:rsidRPr="00D457A3">
          <w:rPr>
            <w:rStyle w:val="Hyperlink"/>
            <w:noProof/>
            <w:lang w:val="fr-FR"/>
          </w:rPr>
          <w:t>Microsoft</w:t>
        </w:r>
        <w:r w:rsidR="008E032C" w:rsidRPr="00D457A3">
          <w:rPr>
            <w:rStyle w:val="Hyperlink"/>
            <w:noProof/>
          </w:rPr>
          <w:t xml:space="preserve"> </w:t>
        </w:r>
        <w:r w:rsidR="008E032C" w:rsidRPr="00D457A3">
          <w:rPr>
            <w:rStyle w:val="Hyperlink"/>
            <w:noProof/>
            <w:lang w:val="fr-FR"/>
          </w:rPr>
          <w:t>Dynamics</w:t>
        </w:r>
        <w:r w:rsidR="008E032C" w:rsidRPr="00D457A3">
          <w:rPr>
            <w:rStyle w:val="Hyperlink"/>
            <w:noProof/>
          </w:rPr>
          <w:t xml:space="preserve"> </w:t>
        </w:r>
        <w:r w:rsidR="008E032C" w:rsidRPr="00D457A3">
          <w:rPr>
            <w:rStyle w:val="Hyperlink"/>
            <w:noProof/>
            <w:lang w:val="fr-FR"/>
          </w:rPr>
          <w:t>AX</w:t>
        </w:r>
        <w:r w:rsidR="008E032C">
          <w:rPr>
            <w:noProof/>
            <w:webHidden/>
          </w:rPr>
          <w:tab/>
        </w:r>
        <w:r w:rsidR="008E032C">
          <w:rPr>
            <w:noProof/>
            <w:webHidden/>
          </w:rPr>
          <w:fldChar w:fldCharType="begin"/>
        </w:r>
        <w:r w:rsidR="008E032C">
          <w:rPr>
            <w:noProof/>
            <w:webHidden/>
          </w:rPr>
          <w:instrText xml:space="preserve"> PAGEREF _Toc48202085 \h </w:instrText>
        </w:r>
        <w:r w:rsidR="008E032C">
          <w:rPr>
            <w:noProof/>
            <w:webHidden/>
          </w:rPr>
        </w:r>
        <w:r w:rsidR="008E032C">
          <w:rPr>
            <w:noProof/>
            <w:webHidden/>
          </w:rPr>
          <w:fldChar w:fldCharType="separate"/>
        </w:r>
        <w:r w:rsidR="008E032C">
          <w:rPr>
            <w:noProof/>
            <w:webHidden/>
          </w:rPr>
          <w:t>13</w:t>
        </w:r>
        <w:r w:rsidR="008E032C">
          <w:rPr>
            <w:noProof/>
            <w:webHidden/>
          </w:rPr>
          <w:fldChar w:fldCharType="end"/>
        </w:r>
      </w:hyperlink>
    </w:p>
    <w:p w14:paraId="56208FAC" w14:textId="7BDA9E04" w:rsidR="008E032C" w:rsidRDefault="00E72D01">
      <w:pPr>
        <w:pStyle w:val="TOC4"/>
        <w:tabs>
          <w:tab w:val="right" w:leader="dot" w:pos="5030"/>
        </w:tabs>
        <w:rPr>
          <w:rFonts w:eastAsiaTheme="minorEastAsia"/>
          <w:smallCaps w:val="0"/>
          <w:noProof/>
          <w:sz w:val="22"/>
          <w:lang w:val="en-US" w:eastAsia="en-US" w:bidi="ar-SA"/>
        </w:rPr>
      </w:pPr>
      <w:hyperlink w:anchor="_Toc48202086" w:history="1">
        <w:r w:rsidR="008E032C" w:rsidRPr="00D457A3">
          <w:rPr>
            <w:rStyle w:val="Hyperlink"/>
            <w:noProof/>
          </w:rPr>
          <w:t>Microsoft Dynamics 365</w:t>
        </w:r>
        <w:r w:rsidR="008E032C">
          <w:rPr>
            <w:noProof/>
            <w:webHidden/>
          </w:rPr>
          <w:tab/>
        </w:r>
        <w:r w:rsidR="008E032C">
          <w:rPr>
            <w:noProof/>
            <w:webHidden/>
          </w:rPr>
          <w:fldChar w:fldCharType="begin"/>
        </w:r>
        <w:r w:rsidR="008E032C">
          <w:rPr>
            <w:noProof/>
            <w:webHidden/>
          </w:rPr>
          <w:instrText xml:space="preserve"> PAGEREF _Toc48202086 \h </w:instrText>
        </w:r>
        <w:r w:rsidR="008E032C">
          <w:rPr>
            <w:noProof/>
            <w:webHidden/>
          </w:rPr>
        </w:r>
        <w:r w:rsidR="008E032C">
          <w:rPr>
            <w:noProof/>
            <w:webHidden/>
          </w:rPr>
          <w:fldChar w:fldCharType="separate"/>
        </w:r>
        <w:r w:rsidR="008E032C">
          <w:rPr>
            <w:noProof/>
            <w:webHidden/>
          </w:rPr>
          <w:t>15</w:t>
        </w:r>
        <w:r w:rsidR="008E032C">
          <w:rPr>
            <w:noProof/>
            <w:webHidden/>
          </w:rPr>
          <w:fldChar w:fldCharType="end"/>
        </w:r>
      </w:hyperlink>
    </w:p>
    <w:p w14:paraId="3A349CD7" w14:textId="10C990D5" w:rsidR="008E032C" w:rsidRDefault="00E72D01">
      <w:pPr>
        <w:pStyle w:val="TOC4"/>
        <w:tabs>
          <w:tab w:val="right" w:leader="dot" w:pos="5030"/>
        </w:tabs>
        <w:rPr>
          <w:rFonts w:eastAsiaTheme="minorEastAsia"/>
          <w:smallCaps w:val="0"/>
          <w:noProof/>
          <w:sz w:val="22"/>
          <w:lang w:val="en-US" w:eastAsia="en-US" w:bidi="ar-SA"/>
        </w:rPr>
      </w:pPr>
      <w:hyperlink w:anchor="_Toc48202087" w:history="1">
        <w:r w:rsidR="008E032C" w:rsidRPr="00D457A3">
          <w:rPr>
            <w:rStyle w:val="Hyperlink"/>
            <w:noProof/>
          </w:rPr>
          <w:t>Microsoft Dynamics NAV</w:t>
        </w:r>
        <w:r w:rsidR="008E032C">
          <w:rPr>
            <w:noProof/>
            <w:webHidden/>
          </w:rPr>
          <w:tab/>
        </w:r>
        <w:r w:rsidR="008E032C">
          <w:rPr>
            <w:noProof/>
            <w:webHidden/>
          </w:rPr>
          <w:fldChar w:fldCharType="begin"/>
        </w:r>
        <w:r w:rsidR="008E032C">
          <w:rPr>
            <w:noProof/>
            <w:webHidden/>
          </w:rPr>
          <w:instrText xml:space="preserve"> PAGEREF _Toc48202087 \h </w:instrText>
        </w:r>
        <w:r w:rsidR="008E032C">
          <w:rPr>
            <w:noProof/>
            <w:webHidden/>
          </w:rPr>
        </w:r>
        <w:r w:rsidR="008E032C">
          <w:rPr>
            <w:noProof/>
            <w:webHidden/>
          </w:rPr>
          <w:fldChar w:fldCharType="separate"/>
        </w:r>
        <w:r w:rsidR="008E032C">
          <w:rPr>
            <w:noProof/>
            <w:webHidden/>
          </w:rPr>
          <w:t>16</w:t>
        </w:r>
        <w:r w:rsidR="008E032C">
          <w:rPr>
            <w:noProof/>
            <w:webHidden/>
          </w:rPr>
          <w:fldChar w:fldCharType="end"/>
        </w:r>
      </w:hyperlink>
    </w:p>
    <w:p w14:paraId="0F71B867" w14:textId="1B49C224" w:rsidR="008E032C" w:rsidRDefault="00E72D01">
      <w:pPr>
        <w:pStyle w:val="TOC4"/>
        <w:tabs>
          <w:tab w:val="right" w:leader="dot" w:pos="5030"/>
        </w:tabs>
        <w:rPr>
          <w:rFonts w:eastAsiaTheme="minorEastAsia"/>
          <w:smallCaps w:val="0"/>
          <w:noProof/>
          <w:sz w:val="22"/>
          <w:lang w:val="en-US" w:eastAsia="en-US" w:bidi="ar-SA"/>
        </w:rPr>
      </w:pPr>
      <w:hyperlink w:anchor="_Toc48202088" w:history="1">
        <w:r w:rsidR="008E032C" w:rsidRPr="00D457A3">
          <w:rPr>
            <w:rStyle w:val="Hyperlink"/>
            <w:noProof/>
          </w:rPr>
          <w:t>Microsoft Dynamics GP</w:t>
        </w:r>
        <w:r w:rsidR="008E032C">
          <w:rPr>
            <w:noProof/>
            <w:webHidden/>
          </w:rPr>
          <w:tab/>
        </w:r>
        <w:r w:rsidR="008E032C">
          <w:rPr>
            <w:noProof/>
            <w:webHidden/>
          </w:rPr>
          <w:fldChar w:fldCharType="begin"/>
        </w:r>
        <w:r w:rsidR="008E032C">
          <w:rPr>
            <w:noProof/>
            <w:webHidden/>
          </w:rPr>
          <w:instrText xml:space="preserve"> PAGEREF _Toc48202088 \h </w:instrText>
        </w:r>
        <w:r w:rsidR="008E032C">
          <w:rPr>
            <w:noProof/>
            <w:webHidden/>
          </w:rPr>
        </w:r>
        <w:r w:rsidR="008E032C">
          <w:rPr>
            <w:noProof/>
            <w:webHidden/>
          </w:rPr>
          <w:fldChar w:fldCharType="separate"/>
        </w:r>
        <w:r w:rsidR="008E032C">
          <w:rPr>
            <w:noProof/>
            <w:webHidden/>
          </w:rPr>
          <w:t>17</w:t>
        </w:r>
        <w:r w:rsidR="008E032C">
          <w:rPr>
            <w:noProof/>
            <w:webHidden/>
          </w:rPr>
          <w:fldChar w:fldCharType="end"/>
        </w:r>
      </w:hyperlink>
    </w:p>
    <w:p w14:paraId="18BC0829" w14:textId="43617948" w:rsidR="008E032C" w:rsidRDefault="00E72D01">
      <w:pPr>
        <w:pStyle w:val="TOC4"/>
        <w:tabs>
          <w:tab w:val="right" w:leader="dot" w:pos="5030"/>
        </w:tabs>
        <w:rPr>
          <w:rFonts w:eastAsiaTheme="minorEastAsia"/>
          <w:smallCaps w:val="0"/>
          <w:noProof/>
          <w:sz w:val="22"/>
          <w:lang w:val="en-US" w:eastAsia="en-US" w:bidi="ar-SA"/>
        </w:rPr>
      </w:pPr>
      <w:hyperlink w:anchor="_Toc48202089" w:history="1">
        <w:r w:rsidR="008E032C" w:rsidRPr="00D457A3">
          <w:rPr>
            <w:rStyle w:val="Hyperlink"/>
            <w:noProof/>
          </w:rPr>
          <w:t>Microsoft Dynamics SL</w:t>
        </w:r>
        <w:r w:rsidR="008E032C">
          <w:rPr>
            <w:noProof/>
            <w:webHidden/>
          </w:rPr>
          <w:tab/>
        </w:r>
        <w:r w:rsidR="008E032C">
          <w:rPr>
            <w:noProof/>
            <w:webHidden/>
          </w:rPr>
          <w:fldChar w:fldCharType="begin"/>
        </w:r>
        <w:r w:rsidR="008E032C">
          <w:rPr>
            <w:noProof/>
            <w:webHidden/>
          </w:rPr>
          <w:instrText xml:space="preserve"> PAGEREF _Toc48202089 \h </w:instrText>
        </w:r>
        <w:r w:rsidR="008E032C">
          <w:rPr>
            <w:noProof/>
            <w:webHidden/>
          </w:rPr>
        </w:r>
        <w:r w:rsidR="008E032C">
          <w:rPr>
            <w:noProof/>
            <w:webHidden/>
          </w:rPr>
          <w:fldChar w:fldCharType="separate"/>
        </w:r>
        <w:r w:rsidR="008E032C">
          <w:rPr>
            <w:noProof/>
            <w:webHidden/>
          </w:rPr>
          <w:t>18</w:t>
        </w:r>
        <w:r w:rsidR="008E032C">
          <w:rPr>
            <w:noProof/>
            <w:webHidden/>
          </w:rPr>
          <w:fldChar w:fldCharType="end"/>
        </w:r>
      </w:hyperlink>
    </w:p>
    <w:p w14:paraId="0091BDFA" w14:textId="374168E2" w:rsidR="008E032C" w:rsidRDefault="008E032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8202090" w:history="1">
        <w:r w:rsidRPr="00D457A3">
          <w:rPr>
            <w:rStyle w:val="Hyperlink"/>
            <w:noProof/>
          </w:rPr>
          <w:t>Приложения Office</w:t>
        </w:r>
        <w:r>
          <w:rPr>
            <w:noProof/>
            <w:webHidden/>
          </w:rPr>
          <w:tab/>
        </w:r>
        <w:r>
          <w:rPr>
            <w:noProof/>
            <w:webHidden/>
          </w:rPr>
          <w:fldChar w:fldCharType="begin"/>
        </w:r>
        <w:r>
          <w:rPr>
            <w:noProof/>
            <w:webHidden/>
          </w:rPr>
          <w:instrText xml:space="preserve"> PAGEREF _Toc48202090 \h </w:instrText>
        </w:r>
        <w:r>
          <w:rPr>
            <w:noProof/>
            <w:webHidden/>
          </w:rPr>
        </w:r>
        <w:r>
          <w:rPr>
            <w:noProof/>
            <w:webHidden/>
          </w:rPr>
          <w:fldChar w:fldCharType="separate"/>
        </w:r>
        <w:r>
          <w:rPr>
            <w:noProof/>
            <w:webHidden/>
          </w:rPr>
          <w:t>19</w:t>
        </w:r>
        <w:r>
          <w:rPr>
            <w:noProof/>
            <w:webHidden/>
          </w:rPr>
          <w:fldChar w:fldCharType="end"/>
        </w:r>
      </w:hyperlink>
    </w:p>
    <w:p w14:paraId="7231D252" w14:textId="124580E5" w:rsidR="008E032C" w:rsidRDefault="00E72D01">
      <w:pPr>
        <w:pStyle w:val="TOC4"/>
        <w:tabs>
          <w:tab w:val="right" w:leader="dot" w:pos="5030"/>
        </w:tabs>
        <w:rPr>
          <w:rFonts w:eastAsiaTheme="minorEastAsia"/>
          <w:smallCaps w:val="0"/>
          <w:noProof/>
          <w:sz w:val="22"/>
          <w:lang w:val="en-US" w:eastAsia="en-US" w:bidi="ar-SA"/>
        </w:rPr>
      </w:pPr>
      <w:hyperlink w:anchor="_Toc48202091" w:history="1">
        <w:r w:rsidR="008E032C" w:rsidRPr="00D457A3">
          <w:rPr>
            <w:rStyle w:val="Hyperlink"/>
            <w:noProof/>
          </w:rPr>
          <w:t>Приложения Office для настольных компьютеров</w:t>
        </w:r>
        <w:r w:rsidR="008E032C">
          <w:rPr>
            <w:noProof/>
            <w:webHidden/>
          </w:rPr>
          <w:tab/>
        </w:r>
        <w:r w:rsidR="008E032C">
          <w:rPr>
            <w:noProof/>
            <w:webHidden/>
          </w:rPr>
          <w:fldChar w:fldCharType="begin"/>
        </w:r>
        <w:r w:rsidR="008E032C">
          <w:rPr>
            <w:noProof/>
            <w:webHidden/>
          </w:rPr>
          <w:instrText xml:space="preserve"> PAGEREF _Toc48202091 \h </w:instrText>
        </w:r>
        <w:r w:rsidR="008E032C">
          <w:rPr>
            <w:noProof/>
            <w:webHidden/>
          </w:rPr>
        </w:r>
        <w:r w:rsidR="008E032C">
          <w:rPr>
            <w:noProof/>
            <w:webHidden/>
          </w:rPr>
          <w:fldChar w:fldCharType="separate"/>
        </w:r>
        <w:r w:rsidR="008E032C">
          <w:rPr>
            <w:noProof/>
            <w:webHidden/>
          </w:rPr>
          <w:t>19</w:t>
        </w:r>
        <w:r w:rsidR="008E032C">
          <w:rPr>
            <w:noProof/>
            <w:webHidden/>
          </w:rPr>
          <w:fldChar w:fldCharType="end"/>
        </w:r>
      </w:hyperlink>
    </w:p>
    <w:p w14:paraId="7C5E7DF6" w14:textId="730CAD59" w:rsidR="008E032C" w:rsidRDefault="00E72D01">
      <w:pPr>
        <w:pStyle w:val="TOC4"/>
        <w:tabs>
          <w:tab w:val="right" w:leader="dot" w:pos="5030"/>
        </w:tabs>
        <w:rPr>
          <w:rFonts w:eastAsiaTheme="minorEastAsia"/>
          <w:smallCaps w:val="0"/>
          <w:noProof/>
          <w:sz w:val="22"/>
          <w:lang w:val="en-US" w:eastAsia="en-US" w:bidi="ar-SA"/>
        </w:rPr>
      </w:pPr>
      <w:hyperlink w:anchor="_Toc48202092" w:history="1">
        <w:r w:rsidR="008E032C" w:rsidRPr="00D457A3">
          <w:rPr>
            <w:rStyle w:val="Hyperlink"/>
            <w:noProof/>
          </w:rPr>
          <w:t>Project</w:t>
        </w:r>
        <w:r w:rsidR="008E032C">
          <w:rPr>
            <w:noProof/>
            <w:webHidden/>
          </w:rPr>
          <w:tab/>
        </w:r>
        <w:r w:rsidR="008E032C">
          <w:rPr>
            <w:noProof/>
            <w:webHidden/>
          </w:rPr>
          <w:fldChar w:fldCharType="begin"/>
        </w:r>
        <w:r w:rsidR="008E032C">
          <w:rPr>
            <w:noProof/>
            <w:webHidden/>
          </w:rPr>
          <w:instrText xml:space="preserve"> PAGEREF _Toc48202092 \h </w:instrText>
        </w:r>
        <w:r w:rsidR="008E032C">
          <w:rPr>
            <w:noProof/>
            <w:webHidden/>
          </w:rPr>
        </w:r>
        <w:r w:rsidR="008E032C">
          <w:rPr>
            <w:noProof/>
            <w:webHidden/>
          </w:rPr>
          <w:fldChar w:fldCharType="separate"/>
        </w:r>
        <w:r w:rsidR="008E032C">
          <w:rPr>
            <w:noProof/>
            <w:webHidden/>
          </w:rPr>
          <w:t>19</w:t>
        </w:r>
        <w:r w:rsidR="008E032C">
          <w:rPr>
            <w:noProof/>
            <w:webHidden/>
          </w:rPr>
          <w:fldChar w:fldCharType="end"/>
        </w:r>
      </w:hyperlink>
    </w:p>
    <w:p w14:paraId="50133A95" w14:textId="768F0568" w:rsidR="008E032C" w:rsidRDefault="00E72D01">
      <w:pPr>
        <w:pStyle w:val="TOC4"/>
        <w:tabs>
          <w:tab w:val="right" w:leader="dot" w:pos="5030"/>
        </w:tabs>
        <w:rPr>
          <w:rFonts w:eastAsiaTheme="minorEastAsia"/>
          <w:smallCaps w:val="0"/>
          <w:noProof/>
          <w:sz w:val="22"/>
          <w:lang w:val="en-US" w:eastAsia="en-US" w:bidi="ar-SA"/>
        </w:rPr>
      </w:pPr>
      <w:hyperlink w:anchor="_Toc48202093" w:history="1">
        <w:r w:rsidR="008E032C" w:rsidRPr="00D457A3">
          <w:rPr>
            <w:rStyle w:val="Hyperlink"/>
            <w:noProof/>
          </w:rPr>
          <w:t>Visio</w:t>
        </w:r>
        <w:r w:rsidR="008E032C">
          <w:rPr>
            <w:noProof/>
            <w:webHidden/>
          </w:rPr>
          <w:tab/>
        </w:r>
        <w:r w:rsidR="008E032C">
          <w:rPr>
            <w:noProof/>
            <w:webHidden/>
          </w:rPr>
          <w:fldChar w:fldCharType="begin"/>
        </w:r>
        <w:r w:rsidR="008E032C">
          <w:rPr>
            <w:noProof/>
            <w:webHidden/>
          </w:rPr>
          <w:instrText xml:space="preserve"> PAGEREF _Toc48202093 \h </w:instrText>
        </w:r>
        <w:r w:rsidR="008E032C">
          <w:rPr>
            <w:noProof/>
            <w:webHidden/>
          </w:rPr>
        </w:r>
        <w:r w:rsidR="008E032C">
          <w:rPr>
            <w:noProof/>
            <w:webHidden/>
          </w:rPr>
          <w:fldChar w:fldCharType="separate"/>
        </w:r>
        <w:r w:rsidR="008E032C">
          <w:rPr>
            <w:noProof/>
            <w:webHidden/>
          </w:rPr>
          <w:t>20</w:t>
        </w:r>
        <w:r w:rsidR="008E032C">
          <w:rPr>
            <w:noProof/>
            <w:webHidden/>
          </w:rPr>
          <w:fldChar w:fldCharType="end"/>
        </w:r>
      </w:hyperlink>
    </w:p>
    <w:p w14:paraId="0CBB357B" w14:textId="2E0A1964" w:rsidR="008E032C" w:rsidRDefault="00E72D01">
      <w:pPr>
        <w:pStyle w:val="TOC2"/>
        <w:tabs>
          <w:tab w:val="right" w:leader="dot" w:pos="5030"/>
        </w:tabs>
        <w:rPr>
          <w:rFonts w:eastAsiaTheme="minorEastAsia"/>
          <w:b w:val="0"/>
          <w:smallCaps w:val="0"/>
          <w:noProof/>
          <w:sz w:val="22"/>
          <w:lang w:val="en-US" w:eastAsia="en-US" w:bidi="ar-SA"/>
        </w:rPr>
      </w:pPr>
      <w:hyperlink w:anchor="_Toc48202094" w:history="1">
        <w:r w:rsidR="008E032C" w:rsidRPr="00D457A3">
          <w:rPr>
            <w:rStyle w:val="Hyperlink"/>
            <w:noProof/>
          </w:rPr>
          <w:t>Серверы Office</w:t>
        </w:r>
        <w:r w:rsidR="008E032C">
          <w:rPr>
            <w:noProof/>
            <w:webHidden/>
          </w:rPr>
          <w:tab/>
        </w:r>
        <w:r w:rsidR="008E032C">
          <w:rPr>
            <w:noProof/>
            <w:webHidden/>
          </w:rPr>
          <w:fldChar w:fldCharType="begin"/>
        </w:r>
        <w:r w:rsidR="008E032C">
          <w:rPr>
            <w:noProof/>
            <w:webHidden/>
          </w:rPr>
          <w:instrText xml:space="preserve"> PAGEREF _Toc48202094 \h </w:instrText>
        </w:r>
        <w:r w:rsidR="008E032C">
          <w:rPr>
            <w:noProof/>
            <w:webHidden/>
          </w:rPr>
        </w:r>
        <w:r w:rsidR="008E032C">
          <w:rPr>
            <w:noProof/>
            <w:webHidden/>
          </w:rPr>
          <w:fldChar w:fldCharType="separate"/>
        </w:r>
        <w:r w:rsidR="008E032C">
          <w:rPr>
            <w:noProof/>
            <w:webHidden/>
          </w:rPr>
          <w:t>20</w:t>
        </w:r>
        <w:r w:rsidR="008E032C">
          <w:rPr>
            <w:noProof/>
            <w:webHidden/>
          </w:rPr>
          <w:fldChar w:fldCharType="end"/>
        </w:r>
      </w:hyperlink>
    </w:p>
    <w:p w14:paraId="04FF70E0" w14:textId="18F55CBC" w:rsidR="008E032C" w:rsidRDefault="00E72D01">
      <w:pPr>
        <w:pStyle w:val="TOC4"/>
        <w:tabs>
          <w:tab w:val="right" w:leader="dot" w:pos="5030"/>
        </w:tabs>
        <w:rPr>
          <w:rFonts w:eastAsiaTheme="minorEastAsia"/>
          <w:smallCaps w:val="0"/>
          <w:noProof/>
          <w:sz w:val="22"/>
          <w:lang w:val="en-US" w:eastAsia="en-US" w:bidi="ar-SA"/>
        </w:rPr>
      </w:pPr>
      <w:hyperlink w:anchor="_Toc48202095" w:history="1">
        <w:r w:rsidR="008E032C" w:rsidRPr="00D457A3">
          <w:rPr>
            <w:rStyle w:val="Hyperlink"/>
            <w:noProof/>
          </w:rPr>
          <w:t>Exchange Server</w:t>
        </w:r>
        <w:r w:rsidR="008E032C">
          <w:rPr>
            <w:noProof/>
            <w:webHidden/>
          </w:rPr>
          <w:tab/>
        </w:r>
        <w:r w:rsidR="008E032C">
          <w:rPr>
            <w:noProof/>
            <w:webHidden/>
          </w:rPr>
          <w:fldChar w:fldCharType="begin"/>
        </w:r>
        <w:r w:rsidR="008E032C">
          <w:rPr>
            <w:noProof/>
            <w:webHidden/>
          </w:rPr>
          <w:instrText xml:space="preserve"> PAGEREF _Toc48202095 \h </w:instrText>
        </w:r>
        <w:r w:rsidR="008E032C">
          <w:rPr>
            <w:noProof/>
            <w:webHidden/>
          </w:rPr>
        </w:r>
        <w:r w:rsidR="008E032C">
          <w:rPr>
            <w:noProof/>
            <w:webHidden/>
          </w:rPr>
          <w:fldChar w:fldCharType="separate"/>
        </w:r>
        <w:r w:rsidR="008E032C">
          <w:rPr>
            <w:noProof/>
            <w:webHidden/>
          </w:rPr>
          <w:t>20</w:t>
        </w:r>
        <w:r w:rsidR="008E032C">
          <w:rPr>
            <w:noProof/>
            <w:webHidden/>
          </w:rPr>
          <w:fldChar w:fldCharType="end"/>
        </w:r>
      </w:hyperlink>
    </w:p>
    <w:p w14:paraId="5699F5E6" w14:textId="751B7A26" w:rsidR="008E032C" w:rsidRDefault="00E72D01">
      <w:pPr>
        <w:pStyle w:val="TOC4"/>
        <w:tabs>
          <w:tab w:val="right" w:leader="dot" w:pos="5030"/>
        </w:tabs>
        <w:rPr>
          <w:rFonts w:eastAsiaTheme="minorEastAsia"/>
          <w:smallCaps w:val="0"/>
          <w:noProof/>
          <w:sz w:val="22"/>
          <w:lang w:val="en-US" w:eastAsia="en-US" w:bidi="ar-SA"/>
        </w:rPr>
      </w:pPr>
      <w:hyperlink w:anchor="_Toc48202096" w:history="1">
        <w:r w:rsidR="008E032C" w:rsidRPr="00D457A3">
          <w:rPr>
            <w:rStyle w:val="Hyperlink"/>
            <w:noProof/>
          </w:rPr>
          <w:t>Project Server</w:t>
        </w:r>
        <w:r w:rsidR="008E032C">
          <w:rPr>
            <w:noProof/>
            <w:webHidden/>
          </w:rPr>
          <w:tab/>
        </w:r>
        <w:r w:rsidR="008E032C">
          <w:rPr>
            <w:noProof/>
            <w:webHidden/>
          </w:rPr>
          <w:fldChar w:fldCharType="begin"/>
        </w:r>
        <w:r w:rsidR="008E032C">
          <w:rPr>
            <w:noProof/>
            <w:webHidden/>
          </w:rPr>
          <w:instrText xml:space="preserve"> PAGEREF _Toc48202096 \h </w:instrText>
        </w:r>
        <w:r w:rsidR="008E032C">
          <w:rPr>
            <w:noProof/>
            <w:webHidden/>
          </w:rPr>
        </w:r>
        <w:r w:rsidR="008E032C">
          <w:rPr>
            <w:noProof/>
            <w:webHidden/>
          </w:rPr>
          <w:fldChar w:fldCharType="separate"/>
        </w:r>
        <w:r w:rsidR="008E032C">
          <w:rPr>
            <w:noProof/>
            <w:webHidden/>
          </w:rPr>
          <w:t>22</w:t>
        </w:r>
        <w:r w:rsidR="008E032C">
          <w:rPr>
            <w:noProof/>
            <w:webHidden/>
          </w:rPr>
          <w:fldChar w:fldCharType="end"/>
        </w:r>
      </w:hyperlink>
    </w:p>
    <w:p w14:paraId="6B7B5F0E" w14:textId="23058325" w:rsidR="008E032C" w:rsidRDefault="00E72D01">
      <w:pPr>
        <w:pStyle w:val="TOC4"/>
        <w:tabs>
          <w:tab w:val="right" w:leader="dot" w:pos="5030"/>
        </w:tabs>
        <w:rPr>
          <w:rFonts w:eastAsiaTheme="minorEastAsia"/>
          <w:smallCaps w:val="0"/>
          <w:noProof/>
          <w:sz w:val="22"/>
          <w:lang w:val="en-US" w:eastAsia="en-US" w:bidi="ar-SA"/>
        </w:rPr>
      </w:pPr>
      <w:hyperlink w:anchor="_Toc48202097" w:history="1">
        <w:r w:rsidR="008E032C" w:rsidRPr="00D457A3">
          <w:rPr>
            <w:rStyle w:val="Hyperlink"/>
            <w:noProof/>
          </w:rPr>
          <w:t>SharePoint Server</w:t>
        </w:r>
        <w:r w:rsidR="008E032C">
          <w:rPr>
            <w:noProof/>
            <w:webHidden/>
          </w:rPr>
          <w:tab/>
        </w:r>
        <w:r w:rsidR="008E032C">
          <w:rPr>
            <w:noProof/>
            <w:webHidden/>
          </w:rPr>
          <w:fldChar w:fldCharType="begin"/>
        </w:r>
        <w:r w:rsidR="008E032C">
          <w:rPr>
            <w:noProof/>
            <w:webHidden/>
          </w:rPr>
          <w:instrText xml:space="preserve"> PAGEREF _Toc48202097 \h </w:instrText>
        </w:r>
        <w:r w:rsidR="008E032C">
          <w:rPr>
            <w:noProof/>
            <w:webHidden/>
          </w:rPr>
        </w:r>
        <w:r w:rsidR="008E032C">
          <w:rPr>
            <w:noProof/>
            <w:webHidden/>
          </w:rPr>
          <w:fldChar w:fldCharType="separate"/>
        </w:r>
        <w:r w:rsidR="008E032C">
          <w:rPr>
            <w:noProof/>
            <w:webHidden/>
          </w:rPr>
          <w:t>22</w:t>
        </w:r>
        <w:r w:rsidR="008E032C">
          <w:rPr>
            <w:noProof/>
            <w:webHidden/>
          </w:rPr>
          <w:fldChar w:fldCharType="end"/>
        </w:r>
      </w:hyperlink>
    </w:p>
    <w:p w14:paraId="76FA8881" w14:textId="7DC03CC4" w:rsidR="008E032C" w:rsidRDefault="00E72D01">
      <w:pPr>
        <w:pStyle w:val="TOC4"/>
        <w:tabs>
          <w:tab w:val="right" w:leader="dot" w:pos="5030"/>
        </w:tabs>
        <w:rPr>
          <w:rFonts w:eastAsiaTheme="minorEastAsia"/>
          <w:smallCaps w:val="0"/>
          <w:noProof/>
          <w:sz w:val="22"/>
          <w:lang w:val="en-US" w:eastAsia="en-US" w:bidi="ar-SA"/>
        </w:rPr>
      </w:pPr>
      <w:hyperlink w:anchor="_Toc48202098" w:history="1">
        <w:r w:rsidR="008E032C" w:rsidRPr="00D457A3">
          <w:rPr>
            <w:rStyle w:val="Hyperlink"/>
            <w:noProof/>
          </w:rPr>
          <w:t>Skype для бизнеса Server</w:t>
        </w:r>
        <w:r w:rsidR="008E032C">
          <w:rPr>
            <w:noProof/>
            <w:webHidden/>
          </w:rPr>
          <w:tab/>
        </w:r>
        <w:r w:rsidR="008E032C">
          <w:rPr>
            <w:noProof/>
            <w:webHidden/>
          </w:rPr>
          <w:fldChar w:fldCharType="begin"/>
        </w:r>
        <w:r w:rsidR="008E032C">
          <w:rPr>
            <w:noProof/>
            <w:webHidden/>
          </w:rPr>
          <w:instrText xml:space="preserve"> PAGEREF _Toc48202098 \h </w:instrText>
        </w:r>
        <w:r w:rsidR="008E032C">
          <w:rPr>
            <w:noProof/>
            <w:webHidden/>
          </w:rPr>
        </w:r>
        <w:r w:rsidR="008E032C">
          <w:rPr>
            <w:noProof/>
            <w:webHidden/>
          </w:rPr>
          <w:fldChar w:fldCharType="separate"/>
        </w:r>
        <w:r w:rsidR="008E032C">
          <w:rPr>
            <w:noProof/>
            <w:webHidden/>
          </w:rPr>
          <w:t>23</w:t>
        </w:r>
        <w:r w:rsidR="008E032C">
          <w:rPr>
            <w:noProof/>
            <w:webHidden/>
          </w:rPr>
          <w:fldChar w:fldCharType="end"/>
        </w:r>
      </w:hyperlink>
    </w:p>
    <w:p w14:paraId="0453B6C7" w14:textId="18A14807" w:rsidR="008E032C" w:rsidRDefault="00E72D01">
      <w:pPr>
        <w:pStyle w:val="TOC3"/>
        <w:tabs>
          <w:tab w:val="right" w:leader="dot" w:pos="5030"/>
        </w:tabs>
        <w:rPr>
          <w:rFonts w:eastAsiaTheme="minorEastAsia"/>
          <w:smallCaps w:val="0"/>
          <w:noProof/>
          <w:sz w:val="22"/>
          <w:lang w:val="en-US" w:eastAsia="en-US" w:bidi="ar-SA"/>
        </w:rPr>
      </w:pPr>
      <w:hyperlink w:anchor="_Toc48202099" w:history="1">
        <w:r w:rsidR="008E032C" w:rsidRPr="00D457A3">
          <w:rPr>
            <w:rStyle w:val="Hyperlink"/>
            <w:noProof/>
          </w:rPr>
          <w:t>SQL Server</w:t>
        </w:r>
        <w:r w:rsidR="008E032C">
          <w:rPr>
            <w:noProof/>
            <w:webHidden/>
          </w:rPr>
          <w:tab/>
        </w:r>
        <w:r w:rsidR="008E032C">
          <w:rPr>
            <w:noProof/>
            <w:webHidden/>
          </w:rPr>
          <w:fldChar w:fldCharType="begin"/>
        </w:r>
        <w:r w:rsidR="008E032C">
          <w:rPr>
            <w:noProof/>
            <w:webHidden/>
          </w:rPr>
          <w:instrText xml:space="preserve"> PAGEREF _Toc48202099 \h </w:instrText>
        </w:r>
        <w:r w:rsidR="008E032C">
          <w:rPr>
            <w:noProof/>
            <w:webHidden/>
          </w:rPr>
        </w:r>
        <w:r w:rsidR="008E032C">
          <w:rPr>
            <w:noProof/>
            <w:webHidden/>
          </w:rPr>
          <w:fldChar w:fldCharType="separate"/>
        </w:r>
        <w:r w:rsidR="008E032C">
          <w:rPr>
            <w:noProof/>
            <w:webHidden/>
          </w:rPr>
          <w:t>25</w:t>
        </w:r>
        <w:r w:rsidR="008E032C">
          <w:rPr>
            <w:noProof/>
            <w:webHidden/>
          </w:rPr>
          <w:fldChar w:fldCharType="end"/>
        </w:r>
      </w:hyperlink>
    </w:p>
    <w:p w14:paraId="1A9791CA" w14:textId="421DDF2C" w:rsidR="008E032C" w:rsidRDefault="00E72D01">
      <w:pPr>
        <w:pStyle w:val="TOC2"/>
        <w:tabs>
          <w:tab w:val="right" w:leader="dot" w:pos="5030"/>
        </w:tabs>
        <w:rPr>
          <w:rFonts w:eastAsiaTheme="minorEastAsia"/>
          <w:b w:val="0"/>
          <w:smallCaps w:val="0"/>
          <w:noProof/>
          <w:sz w:val="22"/>
          <w:lang w:val="en-US" w:eastAsia="en-US" w:bidi="ar-SA"/>
        </w:rPr>
      </w:pPr>
      <w:hyperlink w:anchor="_Toc48202100" w:history="1">
        <w:r w:rsidR="008E032C" w:rsidRPr="00D457A3">
          <w:rPr>
            <w:rStyle w:val="Hyperlink"/>
            <w:noProof/>
          </w:rPr>
          <w:t>Пакеты</w:t>
        </w:r>
        <w:r w:rsidR="008E032C">
          <w:rPr>
            <w:noProof/>
            <w:webHidden/>
          </w:rPr>
          <w:tab/>
        </w:r>
        <w:r w:rsidR="008E032C">
          <w:rPr>
            <w:noProof/>
            <w:webHidden/>
          </w:rPr>
          <w:fldChar w:fldCharType="begin"/>
        </w:r>
        <w:r w:rsidR="008E032C">
          <w:rPr>
            <w:noProof/>
            <w:webHidden/>
          </w:rPr>
          <w:instrText xml:space="preserve"> PAGEREF _Toc48202100 \h </w:instrText>
        </w:r>
        <w:r w:rsidR="008E032C">
          <w:rPr>
            <w:noProof/>
            <w:webHidden/>
          </w:rPr>
        </w:r>
        <w:r w:rsidR="008E032C">
          <w:rPr>
            <w:noProof/>
            <w:webHidden/>
          </w:rPr>
          <w:fldChar w:fldCharType="separate"/>
        </w:r>
        <w:r w:rsidR="008E032C">
          <w:rPr>
            <w:noProof/>
            <w:webHidden/>
          </w:rPr>
          <w:t>26</w:t>
        </w:r>
        <w:r w:rsidR="008E032C">
          <w:rPr>
            <w:noProof/>
            <w:webHidden/>
          </w:rPr>
          <w:fldChar w:fldCharType="end"/>
        </w:r>
      </w:hyperlink>
    </w:p>
    <w:p w14:paraId="43C0AD47" w14:textId="08581AA3" w:rsidR="008E032C" w:rsidRDefault="00E72D01">
      <w:pPr>
        <w:pStyle w:val="TOC4"/>
        <w:tabs>
          <w:tab w:val="right" w:leader="dot" w:pos="5030"/>
        </w:tabs>
        <w:rPr>
          <w:rFonts w:eastAsiaTheme="minorEastAsia"/>
          <w:smallCaps w:val="0"/>
          <w:noProof/>
          <w:sz w:val="22"/>
          <w:lang w:val="en-US" w:eastAsia="en-US" w:bidi="ar-SA"/>
        </w:rPr>
      </w:pPr>
      <w:hyperlink w:anchor="_Toc48202101" w:history="1">
        <w:r w:rsidR="008E032C" w:rsidRPr="00D457A3">
          <w:rPr>
            <w:rStyle w:val="Hyperlink"/>
            <w:noProof/>
          </w:rPr>
          <w:t>Пакет облачной платформы</w:t>
        </w:r>
        <w:r w:rsidR="008E032C">
          <w:rPr>
            <w:noProof/>
            <w:webHidden/>
          </w:rPr>
          <w:tab/>
        </w:r>
        <w:r w:rsidR="008E032C">
          <w:rPr>
            <w:noProof/>
            <w:webHidden/>
          </w:rPr>
          <w:fldChar w:fldCharType="begin"/>
        </w:r>
        <w:r w:rsidR="008E032C">
          <w:rPr>
            <w:noProof/>
            <w:webHidden/>
          </w:rPr>
          <w:instrText xml:space="preserve"> PAGEREF _Toc48202101 \h </w:instrText>
        </w:r>
        <w:r w:rsidR="008E032C">
          <w:rPr>
            <w:noProof/>
            <w:webHidden/>
          </w:rPr>
        </w:r>
        <w:r w:rsidR="008E032C">
          <w:rPr>
            <w:noProof/>
            <w:webHidden/>
          </w:rPr>
          <w:fldChar w:fldCharType="separate"/>
        </w:r>
        <w:r w:rsidR="008E032C">
          <w:rPr>
            <w:noProof/>
            <w:webHidden/>
          </w:rPr>
          <w:t>26</w:t>
        </w:r>
        <w:r w:rsidR="008E032C">
          <w:rPr>
            <w:noProof/>
            <w:webHidden/>
          </w:rPr>
          <w:fldChar w:fldCharType="end"/>
        </w:r>
      </w:hyperlink>
    </w:p>
    <w:p w14:paraId="51C44DCA" w14:textId="6A9EB3C0" w:rsidR="008E032C" w:rsidRDefault="00E72D01">
      <w:pPr>
        <w:pStyle w:val="TOC4"/>
        <w:tabs>
          <w:tab w:val="right" w:leader="dot" w:pos="5030"/>
        </w:tabs>
        <w:rPr>
          <w:rFonts w:eastAsiaTheme="minorEastAsia"/>
          <w:smallCaps w:val="0"/>
          <w:noProof/>
          <w:sz w:val="22"/>
          <w:lang w:val="en-US" w:eastAsia="en-US" w:bidi="ar-SA"/>
        </w:rPr>
      </w:pPr>
      <w:hyperlink w:anchor="_Toc48202102" w:history="1">
        <w:r w:rsidR="008E032C" w:rsidRPr="00D457A3">
          <w:rPr>
            <w:rStyle w:val="Hyperlink"/>
            <w:noProof/>
            <w:lang w:val="fr-FR"/>
          </w:rPr>
          <w:t>Productivity</w:t>
        </w:r>
        <w:r w:rsidR="008E032C" w:rsidRPr="00D457A3">
          <w:rPr>
            <w:rStyle w:val="Hyperlink"/>
            <w:noProof/>
          </w:rPr>
          <w:t xml:space="preserve"> </w:t>
        </w:r>
        <w:r w:rsidR="008E032C" w:rsidRPr="00D457A3">
          <w:rPr>
            <w:rStyle w:val="Hyperlink"/>
            <w:noProof/>
            <w:lang w:val="fr-FR"/>
          </w:rPr>
          <w:t>Suite</w:t>
        </w:r>
        <w:r w:rsidR="008E032C">
          <w:rPr>
            <w:noProof/>
            <w:webHidden/>
          </w:rPr>
          <w:tab/>
        </w:r>
        <w:r w:rsidR="008E032C">
          <w:rPr>
            <w:noProof/>
            <w:webHidden/>
          </w:rPr>
          <w:fldChar w:fldCharType="begin"/>
        </w:r>
        <w:r w:rsidR="008E032C">
          <w:rPr>
            <w:noProof/>
            <w:webHidden/>
          </w:rPr>
          <w:instrText xml:space="preserve"> PAGEREF _Toc48202102 \h </w:instrText>
        </w:r>
        <w:r w:rsidR="008E032C">
          <w:rPr>
            <w:noProof/>
            <w:webHidden/>
          </w:rPr>
        </w:r>
        <w:r w:rsidR="008E032C">
          <w:rPr>
            <w:noProof/>
            <w:webHidden/>
          </w:rPr>
          <w:fldChar w:fldCharType="separate"/>
        </w:r>
        <w:r w:rsidR="008E032C">
          <w:rPr>
            <w:noProof/>
            <w:webHidden/>
          </w:rPr>
          <w:t>27</w:t>
        </w:r>
        <w:r w:rsidR="008E032C">
          <w:rPr>
            <w:noProof/>
            <w:webHidden/>
          </w:rPr>
          <w:fldChar w:fldCharType="end"/>
        </w:r>
      </w:hyperlink>
    </w:p>
    <w:p w14:paraId="72E925C8" w14:textId="48C8DE2E" w:rsidR="008E032C" w:rsidRDefault="00E72D01">
      <w:pPr>
        <w:pStyle w:val="TOC3"/>
        <w:tabs>
          <w:tab w:val="right" w:leader="dot" w:pos="5030"/>
        </w:tabs>
        <w:rPr>
          <w:rFonts w:eastAsiaTheme="minorEastAsia"/>
          <w:smallCaps w:val="0"/>
          <w:noProof/>
          <w:sz w:val="22"/>
          <w:lang w:val="en-US" w:eastAsia="en-US" w:bidi="ar-SA"/>
        </w:rPr>
      </w:pPr>
      <w:hyperlink w:anchor="_Toc48202103" w:history="1">
        <w:r w:rsidR="008E032C" w:rsidRPr="00D457A3">
          <w:rPr>
            <w:rStyle w:val="Hyperlink"/>
            <w:noProof/>
            <w:lang w:val="da-DK"/>
          </w:rPr>
          <w:t>System Center</w:t>
        </w:r>
        <w:r w:rsidR="008E032C">
          <w:rPr>
            <w:noProof/>
            <w:webHidden/>
          </w:rPr>
          <w:tab/>
        </w:r>
        <w:r w:rsidR="008E032C">
          <w:rPr>
            <w:noProof/>
            <w:webHidden/>
          </w:rPr>
          <w:fldChar w:fldCharType="begin"/>
        </w:r>
        <w:r w:rsidR="008E032C">
          <w:rPr>
            <w:noProof/>
            <w:webHidden/>
          </w:rPr>
          <w:instrText xml:space="preserve"> PAGEREF _Toc48202103 \h </w:instrText>
        </w:r>
        <w:r w:rsidR="008E032C">
          <w:rPr>
            <w:noProof/>
            <w:webHidden/>
          </w:rPr>
        </w:r>
        <w:r w:rsidR="008E032C">
          <w:rPr>
            <w:noProof/>
            <w:webHidden/>
          </w:rPr>
          <w:fldChar w:fldCharType="separate"/>
        </w:r>
        <w:r w:rsidR="008E032C">
          <w:rPr>
            <w:noProof/>
            <w:webHidden/>
          </w:rPr>
          <w:t>28</w:t>
        </w:r>
        <w:r w:rsidR="008E032C">
          <w:rPr>
            <w:noProof/>
            <w:webHidden/>
          </w:rPr>
          <w:fldChar w:fldCharType="end"/>
        </w:r>
      </w:hyperlink>
    </w:p>
    <w:p w14:paraId="755B5CF8" w14:textId="28C6288B" w:rsidR="008E032C" w:rsidRDefault="00E72D01">
      <w:pPr>
        <w:pStyle w:val="TOC2"/>
        <w:tabs>
          <w:tab w:val="right" w:leader="dot" w:pos="5030"/>
        </w:tabs>
        <w:rPr>
          <w:rFonts w:eastAsiaTheme="minorEastAsia"/>
          <w:b w:val="0"/>
          <w:smallCaps w:val="0"/>
          <w:noProof/>
          <w:sz w:val="22"/>
          <w:lang w:val="en-US" w:eastAsia="en-US" w:bidi="ar-SA"/>
        </w:rPr>
      </w:pPr>
      <w:hyperlink w:anchor="_Toc48202104" w:history="1">
        <w:r w:rsidR="008E032C" w:rsidRPr="00D457A3">
          <w:rPr>
            <w:rStyle w:val="Hyperlink"/>
            <w:noProof/>
          </w:rPr>
          <w:t>Virtualization Hosting</w:t>
        </w:r>
        <w:r w:rsidR="008E032C">
          <w:rPr>
            <w:noProof/>
            <w:webHidden/>
          </w:rPr>
          <w:tab/>
        </w:r>
        <w:r w:rsidR="008E032C">
          <w:rPr>
            <w:noProof/>
            <w:webHidden/>
          </w:rPr>
          <w:fldChar w:fldCharType="begin"/>
        </w:r>
        <w:r w:rsidR="008E032C">
          <w:rPr>
            <w:noProof/>
            <w:webHidden/>
          </w:rPr>
          <w:instrText xml:space="preserve"> PAGEREF _Toc48202104 \h </w:instrText>
        </w:r>
        <w:r w:rsidR="008E032C">
          <w:rPr>
            <w:noProof/>
            <w:webHidden/>
          </w:rPr>
        </w:r>
        <w:r w:rsidR="008E032C">
          <w:rPr>
            <w:noProof/>
            <w:webHidden/>
          </w:rPr>
          <w:fldChar w:fldCharType="separate"/>
        </w:r>
        <w:r w:rsidR="008E032C">
          <w:rPr>
            <w:noProof/>
            <w:webHidden/>
          </w:rPr>
          <w:t>30</w:t>
        </w:r>
        <w:r w:rsidR="008E032C">
          <w:rPr>
            <w:noProof/>
            <w:webHidden/>
          </w:rPr>
          <w:fldChar w:fldCharType="end"/>
        </w:r>
      </w:hyperlink>
    </w:p>
    <w:p w14:paraId="4D0A84EA" w14:textId="4E1A7982" w:rsidR="008E032C" w:rsidRDefault="00E72D01">
      <w:pPr>
        <w:pStyle w:val="TOC4"/>
        <w:tabs>
          <w:tab w:val="right" w:leader="dot" w:pos="5030"/>
        </w:tabs>
        <w:rPr>
          <w:rFonts w:eastAsiaTheme="minorEastAsia"/>
          <w:smallCaps w:val="0"/>
          <w:noProof/>
          <w:sz w:val="22"/>
          <w:lang w:val="en-US" w:eastAsia="en-US" w:bidi="ar-SA"/>
        </w:rPr>
      </w:pPr>
      <w:hyperlink w:anchor="_Toc48202105" w:history="1">
        <w:r w:rsidR="008E032C" w:rsidRPr="00D457A3">
          <w:rPr>
            <w:rStyle w:val="Hyperlink"/>
            <w:noProof/>
            <w:lang w:val="en-US"/>
          </w:rPr>
          <w:t>Microsoft</w:t>
        </w:r>
        <w:r w:rsidR="008E032C" w:rsidRPr="00D457A3">
          <w:rPr>
            <w:rStyle w:val="Hyperlink"/>
            <w:noProof/>
          </w:rPr>
          <w:t xml:space="preserve"> </w:t>
        </w:r>
        <w:r w:rsidR="008E032C" w:rsidRPr="00D457A3">
          <w:rPr>
            <w:rStyle w:val="Hyperlink"/>
            <w:noProof/>
            <w:lang w:val="en-US"/>
          </w:rPr>
          <w:t>Application</w:t>
        </w:r>
        <w:r w:rsidR="008E032C" w:rsidRPr="00D457A3">
          <w:rPr>
            <w:rStyle w:val="Hyperlink"/>
            <w:noProof/>
          </w:rPr>
          <w:t xml:space="preserve"> </w:t>
        </w:r>
        <w:r w:rsidR="008E032C" w:rsidRPr="00D457A3">
          <w:rPr>
            <w:rStyle w:val="Hyperlink"/>
            <w:noProof/>
            <w:lang w:val="en-US"/>
          </w:rPr>
          <w:t>Virtualization</w:t>
        </w:r>
        <w:r w:rsidR="008E032C" w:rsidRPr="00D457A3">
          <w:rPr>
            <w:rStyle w:val="Hyperlink"/>
            <w:noProof/>
          </w:rPr>
          <w:t xml:space="preserve"> </w:t>
        </w:r>
        <w:r w:rsidR="008E032C" w:rsidRPr="00D457A3">
          <w:rPr>
            <w:rStyle w:val="Hyperlink"/>
            <w:noProof/>
            <w:lang w:val="en-US"/>
          </w:rPr>
          <w:t>Hosting</w:t>
        </w:r>
        <w:r w:rsidR="008E032C" w:rsidRPr="00D457A3">
          <w:rPr>
            <w:rStyle w:val="Hyperlink"/>
            <w:noProof/>
          </w:rPr>
          <w:t xml:space="preserve"> для настольных компьютеров</w:t>
        </w:r>
        <w:r w:rsidR="008E032C">
          <w:rPr>
            <w:noProof/>
            <w:webHidden/>
          </w:rPr>
          <w:tab/>
        </w:r>
        <w:r w:rsidR="008E032C">
          <w:rPr>
            <w:noProof/>
            <w:webHidden/>
          </w:rPr>
          <w:fldChar w:fldCharType="begin"/>
        </w:r>
        <w:r w:rsidR="008E032C">
          <w:rPr>
            <w:noProof/>
            <w:webHidden/>
          </w:rPr>
          <w:instrText xml:space="preserve"> PAGEREF _Toc48202105 \h </w:instrText>
        </w:r>
        <w:r w:rsidR="008E032C">
          <w:rPr>
            <w:noProof/>
            <w:webHidden/>
          </w:rPr>
        </w:r>
        <w:r w:rsidR="008E032C">
          <w:rPr>
            <w:noProof/>
            <w:webHidden/>
          </w:rPr>
          <w:fldChar w:fldCharType="separate"/>
        </w:r>
        <w:r w:rsidR="008E032C">
          <w:rPr>
            <w:noProof/>
            <w:webHidden/>
          </w:rPr>
          <w:t>30</w:t>
        </w:r>
        <w:r w:rsidR="008E032C">
          <w:rPr>
            <w:noProof/>
            <w:webHidden/>
          </w:rPr>
          <w:fldChar w:fldCharType="end"/>
        </w:r>
      </w:hyperlink>
    </w:p>
    <w:p w14:paraId="2799D15D" w14:textId="42B79918" w:rsidR="008E032C" w:rsidRDefault="00E72D01">
      <w:pPr>
        <w:pStyle w:val="TOC4"/>
        <w:tabs>
          <w:tab w:val="right" w:leader="dot" w:pos="5030"/>
        </w:tabs>
        <w:rPr>
          <w:rFonts w:eastAsiaTheme="minorEastAsia"/>
          <w:smallCaps w:val="0"/>
          <w:noProof/>
          <w:sz w:val="22"/>
          <w:lang w:val="en-US" w:eastAsia="en-US" w:bidi="ar-SA"/>
        </w:rPr>
      </w:pPr>
      <w:hyperlink w:anchor="_Toc48202106" w:history="1">
        <w:r w:rsidR="008E032C" w:rsidRPr="00D457A3">
          <w:rPr>
            <w:rStyle w:val="Hyperlink"/>
            <w:noProof/>
          </w:rPr>
          <w:t xml:space="preserve">Размещение </w:t>
        </w:r>
        <w:r w:rsidR="008E032C" w:rsidRPr="00D457A3">
          <w:rPr>
            <w:rStyle w:val="Hyperlink"/>
            <w:noProof/>
            <w:lang w:val="en-US"/>
          </w:rPr>
          <w:t>Microsoft</w:t>
        </w:r>
        <w:r w:rsidR="008E032C" w:rsidRPr="00D457A3">
          <w:rPr>
            <w:rStyle w:val="Hyperlink"/>
            <w:noProof/>
          </w:rPr>
          <w:t xml:space="preserve"> </w:t>
        </w:r>
        <w:r w:rsidR="008E032C" w:rsidRPr="00D457A3">
          <w:rPr>
            <w:rStyle w:val="Hyperlink"/>
            <w:noProof/>
            <w:lang w:val="en-US"/>
          </w:rPr>
          <w:t>User</w:t>
        </w:r>
        <w:r w:rsidR="008E032C" w:rsidRPr="00D457A3">
          <w:rPr>
            <w:rStyle w:val="Hyperlink"/>
            <w:noProof/>
          </w:rPr>
          <w:t xml:space="preserve"> </w:t>
        </w:r>
        <w:r w:rsidR="008E032C" w:rsidRPr="00D457A3">
          <w:rPr>
            <w:rStyle w:val="Hyperlink"/>
            <w:noProof/>
            <w:lang w:val="en-US"/>
          </w:rPr>
          <w:t>Experience</w:t>
        </w:r>
        <w:r w:rsidR="008E032C" w:rsidRPr="00D457A3">
          <w:rPr>
            <w:rStyle w:val="Hyperlink"/>
            <w:noProof/>
          </w:rPr>
          <w:t xml:space="preserve"> </w:t>
        </w:r>
        <w:r w:rsidR="008E032C" w:rsidRPr="00D457A3">
          <w:rPr>
            <w:rStyle w:val="Hyperlink"/>
            <w:noProof/>
            <w:lang w:val="en-US"/>
          </w:rPr>
          <w:t>Virtualization</w:t>
        </w:r>
        <w:r w:rsidR="008E032C" w:rsidRPr="00D457A3">
          <w:rPr>
            <w:rStyle w:val="Hyperlink"/>
            <w:noProof/>
          </w:rPr>
          <w:t xml:space="preserve"> для рабочих столов</w:t>
        </w:r>
        <w:r w:rsidR="008E032C">
          <w:rPr>
            <w:noProof/>
            <w:webHidden/>
          </w:rPr>
          <w:tab/>
        </w:r>
        <w:r w:rsidR="008E032C">
          <w:rPr>
            <w:noProof/>
            <w:webHidden/>
          </w:rPr>
          <w:fldChar w:fldCharType="begin"/>
        </w:r>
        <w:r w:rsidR="008E032C">
          <w:rPr>
            <w:noProof/>
            <w:webHidden/>
          </w:rPr>
          <w:instrText xml:space="preserve"> PAGEREF _Toc48202106 \h </w:instrText>
        </w:r>
        <w:r w:rsidR="008E032C">
          <w:rPr>
            <w:noProof/>
            <w:webHidden/>
          </w:rPr>
        </w:r>
        <w:r w:rsidR="008E032C">
          <w:rPr>
            <w:noProof/>
            <w:webHidden/>
          </w:rPr>
          <w:fldChar w:fldCharType="separate"/>
        </w:r>
        <w:r w:rsidR="008E032C">
          <w:rPr>
            <w:noProof/>
            <w:webHidden/>
          </w:rPr>
          <w:t>30</w:t>
        </w:r>
        <w:r w:rsidR="008E032C">
          <w:rPr>
            <w:noProof/>
            <w:webHidden/>
          </w:rPr>
          <w:fldChar w:fldCharType="end"/>
        </w:r>
      </w:hyperlink>
    </w:p>
    <w:p w14:paraId="530193C8" w14:textId="61C0000D" w:rsidR="008E032C" w:rsidRDefault="00E72D01">
      <w:pPr>
        <w:pStyle w:val="TOC2"/>
        <w:tabs>
          <w:tab w:val="right" w:leader="dot" w:pos="5030"/>
        </w:tabs>
        <w:rPr>
          <w:rFonts w:eastAsiaTheme="minorEastAsia"/>
          <w:b w:val="0"/>
          <w:smallCaps w:val="0"/>
          <w:noProof/>
          <w:sz w:val="22"/>
          <w:lang w:val="en-US" w:eastAsia="en-US" w:bidi="ar-SA"/>
        </w:rPr>
      </w:pPr>
      <w:hyperlink w:anchor="_Toc48202107" w:history="1">
        <w:r w:rsidR="008E032C" w:rsidRPr="00D457A3">
          <w:rPr>
            <w:rStyle w:val="Hyperlink"/>
            <w:noProof/>
          </w:rPr>
          <w:t>Visual Studio</w:t>
        </w:r>
        <w:r w:rsidR="008E032C">
          <w:rPr>
            <w:noProof/>
            <w:webHidden/>
          </w:rPr>
          <w:tab/>
        </w:r>
        <w:r w:rsidR="008E032C">
          <w:rPr>
            <w:noProof/>
            <w:webHidden/>
          </w:rPr>
          <w:fldChar w:fldCharType="begin"/>
        </w:r>
        <w:r w:rsidR="008E032C">
          <w:rPr>
            <w:noProof/>
            <w:webHidden/>
          </w:rPr>
          <w:instrText xml:space="preserve"> PAGEREF _Toc48202107 \h </w:instrText>
        </w:r>
        <w:r w:rsidR="008E032C">
          <w:rPr>
            <w:noProof/>
            <w:webHidden/>
          </w:rPr>
        </w:r>
        <w:r w:rsidR="008E032C">
          <w:rPr>
            <w:noProof/>
            <w:webHidden/>
          </w:rPr>
          <w:fldChar w:fldCharType="separate"/>
        </w:r>
        <w:r w:rsidR="008E032C">
          <w:rPr>
            <w:noProof/>
            <w:webHidden/>
          </w:rPr>
          <w:t>31</w:t>
        </w:r>
        <w:r w:rsidR="008E032C">
          <w:rPr>
            <w:noProof/>
            <w:webHidden/>
          </w:rPr>
          <w:fldChar w:fldCharType="end"/>
        </w:r>
      </w:hyperlink>
    </w:p>
    <w:p w14:paraId="7E8F45EE" w14:textId="6EA8AB2E" w:rsidR="008E032C" w:rsidRDefault="00E72D01">
      <w:pPr>
        <w:pStyle w:val="TOC4"/>
        <w:tabs>
          <w:tab w:val="right" w:leader="dot" w:pos="5030"/>
        </w:tabs>
        <w:rPr>
          <w:rFonts w:eastAsiaTheme="minorEastAsia"/>
          <w:smallCaps w:val="0"/>
          <w:noProof/>
          <w:sz w:val="22"/>
          <w:lang w:val="en-US" w:eastAsia="en-US" w:bidi="ar-SA"/>
        </w:rPr>
      </w:pPr>
      <w:hyperlink w:anchor="_Toc48202108" w:history="1">
        <w:r w:rsidR="008E032C" w:rsidRPr="00D457A3">
          <w:rPr>
            <w:rStyle w:val="Hyperlink"/>
            <w:noProof/>
            <w:lang w:val="pt-BR"/>
          </w:rPr>
          <w:t>Visual</w:t>
        </w:r>
        <w:r w:rsidR="008E032C" w:rsidRPr="00D457A3">
          <w:rPr>
            <w:rStyle w:val="Hyperlink"/>
            <w:noProof/>
          </w:rPr>
          <w:t xml:space="preserve"> </w:t>
        </w:r>
        <w:r w:rsidR="008E032C" w:rsidRPr="00D457A3">
          <w:rPr>
            <w:rStyle w:val="Hyperlink"/>
            <w:noProof/>
            <w:lang w:val="pt-BR"/>
          </w:rPr>
          <w:t>Studio</w:t>
        </w:r>
        <w:r w:rsidR="008E032C">
          <w:rPr>
            <w:noProof/>
            <w:webHidden/>
          </w:rPr>
          <w:tab/>
        </w:r>
        <w:r w:rsidR="008E032C">
          <w:rPr>
            <w:noProof/>
            <w:webHidden/>
          </w:rPr>
          <w:fldChar w:fldCharType="begin"/>
        </w:r>
        <w:r w:rsidR="008E032C">
          <w:rPr>
            <w:noProof/>
            <w:webHidden/>
          </w:rPr>
          <w:instrText xml:space="preserve"> PAGEREF _Toc48202108 \h </w:instrText>
        </w:r>
        <w:r w:rsidR="008E032C">
          <w:rPr>
            <w:noProof/>
            <w:webHidden/>
          </w:rPr>
        </w:r>
        <w:r w:rsidR="008E032C">
          <w:rPr>
            <w:noProof/>
            <w:webHidden/>
          </w:rPr>
          <w:fldChar w:fldCharType="separate"/>
        </w:r>
        <w:r w:rsidR="008E032C">
          <w:rPr>
            <w:noProof/>
            <w:webHidden/>
          </w:rPr>
          <w:t>31</w:t>
        </w:r>
        <w:r w:rsidR="008E032C">
          <w:rPr>
            <w:noProof/>
            <w:webHidden/>
          </w:rPr>
          <w:fldChar w:fldCharType="end"/>
        </w:r>
      </w:hyperlink>
    </w:p>
    <w:p w14:paraId="597AB957" w14:textId="55149DB3" w:rsidR="008E032C" w:rsidRDefault="00E72D01">
      <w:pPr>
        <w:pStyle w:val="TOC4"/>
        <w:tabs>
          <w:tab w:val="right" w:leader="dot" w:pos="5030"/>
        </w:tabs>
        <w:rPr>
          <w:rFonts w:eastAsiaTheme="minorEastAsia"/>
          <w:smallCaps w:val="0"/>
          <w:noProof/>
          <w:sz w:val="22"/>
          <w:lang w:val="en-US" w:eastAsia="en-US" w:bidi="ar-SA"/>
        </w:rPr>
      </w:pPr>
      <w:hyperlink w:anchor="_Toc48202109" w:history="1">
        <w:r w:rsidR="008E032C" w:rsidRPr="00D457A3">
          <w:rPr>
            <w:rStyle w:val="Hyperlink"/>
            <w:noProof/>
          </w:rPr>
          <w:t>Azure Dev Ops Server</w:t>
        </w:r>
        <w:r w:rsidR="008E032C">
          <w:rPr>
            <w:noProof/>
            <w:webHidden/>
          </w:rPr>
          <w:tab/>
        </w:r>
        <w:r w:rsidR="008E032C">
          <w:rPr>
            <w:noProof/>
            <w:webHidden/>
          </w:rPr>
          <w:fldChar w:fldCharType="begin"/>
        </w:r>
        <w:r w:rsidR="008E032C">
          <w:rPr>
            <w:noProof/>
            <w:webHidden/>
          </w:rPr>
          <w:instrText xml:space="preserve"> PAGEREF _Toc48202109 \h </w:instrText>
        </w:r>
        <w:r w:rsidR="008E032C">
          <w:rPr>
            <w:noProof/>
            <w:webHidden/>
          </w:rPr>
        </w:r>
        <w:r w:rsidR="008E032C">
          <w:rPr>
            <w:noProof/>
            <w:webHidden/>
          </w:rPr>
          <w:fldChar w:fldCharType="separate"/>
        </w:r>
        <w:r w:rsidR="008E032C">
          <w:rPr>
            <w:noProof/>
            <w:webHidden/>
          </w:rPr>
          <w:t>32</w:t>
        </w:r>
        <w:r w:rsidR="008E032C">
          <w:rPr>
            <w:noProof/>
            <w:webHidden/>
          </w:rPr>
          <w:fldChar w:fldCharType="end"/>
        </w:r>
      </w:hyperlink>
    </w:p>
    <w:p w14:paraId="54251E70" w14:textId="0E8206C0" w:rsidR="008E032C" w:rsidRDefault="00E72D01">
      <w:pPr>
        <w:pStyle w:val="TOC3"/>
        <w:tabs>
          <w:tab w:val="right" w:leader="dot" w:pos="5030"/>
        </w:tabs>
        <w:rPr>
          <w:rFonts w:eastAsiaTheme="minorEastAsia"/>
          <w:smallCaps w:val="0"/>
          <w:noProof/>
          <w:sz w:val="22"/>
          <w:lang w:val="en-US" w:eastAsia="en-US" w:bidi="ar-SA"/>
        </w:rPr>
      </w:pPr>
      <w:hyperlink w:anchor="_Toc48202110" w:history="1">
        <w:r w:rsidR="008E032C" w:rsidRPr="00D457A3">
          <w:rPr>
            <w:rStyle w:val="Hyperlink"/>
            <w:noProof/>
          </w:rPr>
          <w:t>Система Windows Server</w:t>
        </w:r>
        <w:r w:rsidR="008E032C">
          <w:rPr>
            <w:noProof/>
            <w:webHidden/>
          </w:rPr>
          <w:tab/>
        </w:r>
        <w:r w:rsidR="008E032C">
          <w:rPr>
            <w:noProof/>
            <w:webHidden/>
          </w:rPr>
          <w:fldChar w:fldCharType="begin"/>
        </w:r>
        <w:r w:rsidR="008E032C">
          <w:rPr>
            <w:noProof/>
            <w:webHidden/>
          </w:rPr>
          <w:instrText xml:space="preserve"> PAGEREF _Toc48202110 \h </w:instrText>
        </w:r>
        <w:r w:rsidR="008E032C">
          <w:rPr>
            <w:noProof/>
            <w:webHidden/>
          </w:rPr>
        </w:r>
        <w:r w:rsidR="008E032C">
          <w:rPr>
            <w:noProof/>
            <w:webHidden/>
          </w:rPr>
          <w:fldChar w:fldCharType="separate"/>
        </w:r>
        <w:r w:rsidR="008E032C">
          <w:rPr>
            <w:noProof/>
            <w:webHidden/>
          </w:rPr>
          <w:t>33</w:t>
        </w:r>
        <w:r w:rsidR="008E032C">
          <w:rPr>
            <w:noProof/>
            <w:webHidden/>
          </w:rPr>
          <w:fldChar w:fldCharType="end"/>
        </w:r>
      </w:hyperlink>
    </w:p>
    <w:p w14:paraId="2F0D94BE" w14:textId="2B208FAD" w:rsidR="008E032C" w:rsidRDefault="00E72D01">
      <w:pPr>
        <w:pStyle w:val="TOC1"/>
        <w:rPr>
          <w:rFonts w:eastAsiaTheme="minorEastAsia"/>
          <w:b w:val="0"/>
          <w:caps w:val="0"/>
          <w:noProof/>
          <w:sz w:val="22"/>
          <w:lang w:val="en-US" w:eastAsia="en-US" w:bidi="ar-SA"/>
        </w:rPr>
      </w:pPr>
      <w:hyperlink w:anchor="_Toc48202111" w:history="1">
        <w:r w:rsidR="008E032C" w:rsidRPr="00D457A3">
          <w:rPr>
            <w:rStyle w:val="Hyperlink"/>
            <w:noProof/>
          </w:rPr>
          <w:t>Глоссарий</w:t>
        </w:r>
        <w:r w:rsidR="008E032C">
          <w:rPr>
            <w:noProof/>
            <w:webHidden/>
          </w:rPr>
          <w:tab/>
        </w:r>
        <w:r w:rsidR="008E032C">
          <w:rPr>
            <w:noProof/>
            <w:webHidden/>
          </w:rPr>
          <w:fldChar w:fldCharType="begin"/>
        </w:r>
        <w:r w:rsidR="008E032C">
          <w:rPr>
            <w:noProof/>
            <w:webHidden/>
          </w:rPr>
          <w:instrText xml:space="preserve"> PAGEREF _Toc48202111 \h </w:instrText>
        </w:r>
        <w:r w:rsidR="008E032C">
          <w:rPr>
            <w:noProof/>
            <w:webHidden/>
          </w:rPr>
        </w:r>
        <w:r w:rsidR="008E032C">
          <w:rPr>
            <w:noProof/>
            <w:webHidden/>
          </w:rPr>
          <w:fldChar w:fldCharType="separate"/>
        </w:r>
        <w:r w:rsidR="008E032C">
          <w:rPr>
            <w:noProof/>
            <w:webHidden/>
          </w:rPr>
          <w:t>35</w:t>
        </w:r>
        <w:r w:rsidR="008E032C">
          <w:rPr>
            <w:noProof/>
            <w:webHidden/>
          </w:rPr>
          <w:fldChar w:fldCharType="end"/>
        </w:r>
      </w:hyperlink>
    </w:p>
    <w:p w14:paraId="370FFFA3" w14:textId="33651BDB" w:rsidR="008E032C" w:rsidRDefault="00E72D01">
      <w:pPr>
        <w:pStyle w:val="TOC3"/>
        <w:tabs>
          <w:tab w:val="right" w:leader="dot" w:pos="5030"/>
        </w:tabs>
        <w:rPr>
          <w:rFonts w:eastAsiaTheme="minorEastAsia"/>
          <w:smallCaps w:val="0"/>
          <w:noProof/>
          <w:sz w:val="22"/>
          <w:lang w:val="en-US" w:eastAsia="en-US" w:bidi="ar-SA"/>
        </w:rPr>
      </w:pPr>
      <w:hyperlink w:anchor="_Toc48202112" w:history="1">
        <w:r w:rsidR="008E032C" w:rsidRPr="00D457A3">
          <w:rPr>
            <w:rStyle w:val="Hyperlink"/>
            <w:noProof/>
          </w:rPr>
          <w:t>Сведения о правах и условиях</w:t>
        </w:r>
        <w:r w:rsidR="008E032C">
          <w:rPr>
            <w:noProof/>
            <w:webHidden/>
          </w:rPr>
          <w:tab/>
        </w:r>
        <w:r w:rsidR="008E032C">
          <w:rPr>
            <w:noProof/>
            <w:webHidden/>
          </w:rPr>
          <w:fldChar w:fldCharType="begin"/>
        </w:r>
        <w:r w:rsidR="008E032C">
          <w:rPr>
            <w:noProof/>
            <w:webHidden/>
          </w:rPr>
          <w:instrText xml:space="preserve"> PAGEREF _Toc48202112 \h </w:instrText>
        </w:r>
        <w:r w:rsidR="008E032C">
          <w:rPr>
            <w:noProof/>
            <w:webHidden/>
          </w:rPr>
        </w:r>
        <w:r w:rsidR="008E032C">
          <w:rPr>
            <w:noProof/>
            <w:webHidden/>
          </w:rPr>
          <w:fldChar w:fldCharType="separate"/>
        </w:r>
        <w:r w:rsidR="008E032C">
          <w:rPr>
            <w:noProof/>
            <w:webHidden/>
          </w:rPr>
          <w:t>35</w:t>
        </w:r>
        <w:r w:rsidR="008E032C">
          <w:rPr>
            <w:noProof/>
            <w:webHidden/>
          </w:rPr>
          <w:fldChar w:fldCharType="end"/>
        </w:r>
      </w:hyperlink>
    </w:p>
    <w:p w14:paraId="7BCED60B" w14:textId="241F0FA6" w:rsidR="008E032C" w:rsidRDefault="00E72D01">
      <w:pPr>
        <w:pStyle w:val="TOC3"/>
        <w:tabs>
          <w:tab w:val="right" w:leader="dot" w:pos="5030"/>
        </w:tabs>
        <w:rPr>
          <w:rFonts w:eastAsiaTheme="minorEastAsia"/>
          <w:smallCaps w:val="0"/>
          <w:noProof/>
          <w:sz w:val="22"/>
          <w:lang w:val="en-US" w:eastAsia="en-US" w:bidi="ar-SA"/>
        </w:rPr>
      </w:pPr>
      <w:hyperlink w:anchor="_Toc48202113" w:history="1">
        <w:r w:rsidR="008E032C" w:rsidRPr="00D457A3">
          <w:rPr>
            <w:rStyle w:val="Hyperlink"/>
            <w:noProof/>
          </w:rPr>
          <w:t>Определения</w:t>
        </w:r>
        <w:r w:rsidR="008E032C">
          <w:rPr>
            <w:noProof/>
            <w:webHidden/>
          </w:rPr>
          <w:tab/>
        </w:r>
        <w:r w:rsidR="008E032C">
          <w:rPr>
            <w:noProof/>
            <w:webHidden/>
          </w:rPr>
          <w:fldChar w:fldCharType="begin"/>
        </w:r>
        <w:r w:rsidR="008E032C">
          <w:rPr>
            <w:noProof/>
            <w:webHidden/>
          </w:rPr>
          <w:instrText xml:space="preserve"> PAGEREF _Toc48202113 \h </w:instrText>
        </w:r>
        <w:r w:rsidR="008E032C">
          <w:rPr>
            <w:noProof/>
            <w:webHidden/>
          </w:rPr>
        </w:r>
        <w:r w:rsidR="008E032C">
          <w:rPr>
            <w:noProof/>
            <w:webHidden/>
          </w:rPr>
          <w:fldChar w:fldCharType="separate"/>
        </w:r>
        <w:r w:rsidR="008E032C">
          <w:rPr>
            <w:noProof/>
            <w:webHidden/>
          </w:rPr>
          <w:t>35</w:t>
        </w:r>
        <w:r w:rsidR="008E032C">
          <w:rPr>
            <w:noProof/>
            <w:webHidden/>
          </w:rPr>
          <w:fldChar w:fldCharType="end"/>
        </w:r>
      </w:hyperlink>
    </w:p>
    <w:p w14:paraId="48F66F4A" w14:textId="2053BE67" w:rsidR="008E032C" w:rsidRDefault="00E72D01">
      <w:pPr>
        <w:pStyle w:val="TOC1"/>
        <w:rPr>
          <w:rFonts w:eastAsiaTheme="minorEastAsia"/>
          <w:b w:val="0"/>
          <w:caps w:val="0"/>
          <w:noProof/>
          <w:sz w:val="22"/>
          <w:lang w:val="en-US" w:eastAsia="en-US" w:bidi="ar-SA"/>
        </w:rPr>
      </w:pPr>
      <w:hyperlink w:anchor="_Toc48202114" w:history="1">
        <w:r w:rsidR="008E032C" w:rsidRPr="00D457A3">
          <w:rPr>
            <w:rStyle w:val="Hyperlink"/>
            <w:noProof/>
          </w:rPr>
          <w:t>Указатель</w:t>
        </w:r>
        <w:r w:rsidR="008E032C">
          <w:rPr>
            <w:noProof/>
            <w:webHidden/>
          </w:rPr>
          <w:tab/>
        </w:r>
        <w:r w:rsidR="008E032C">
          <w:rPr>
            <w:noProof/>
            <w:webHidden/>
          </w:rPr>
          <w:fldChar w:fldCharType="begin"/>
        </w:r>
        <w:r w:rsidR="008E032C">
          <w:rPr>
            <w:noProof/>
            <w:webHidden/>
          </w:rPr>
          <w:instrText xml:space="preserve"> PAGEREF _Toc48202114 \h </w:instrText>
        </w:r>
        <w:r w:rsidR="008E032C">
          <w:rPr>
            <w:noProof/>
            <w:webHidden/>
          </w:rPr>
        </w:r>
        <w:r w:rsidR="008E032C">
          <w:rPr>
            <w:noProof/>
            <w:webHidden/>
          </w:rPr>
          <w:fldChar w:fldCharType="separate"/>
        </w:r>
        <w:r w:rsidR="008E032C">
          <w:rPr>
            <w:noProof/>
            <w:webHidden/>
          </w:rPr>
          <w:t>38</w:t>
        </w:r>
        <w:r w:rsidR="008E032C">
          <w:rPr>
            <w:noProof/>
            <w:webHidden/>
          </w:rPr>
          <w:fldChar w:fldCharType="end"/>
        </w:r>
      </w:hyperlink>
    </w:p>
    <w:p w14:paraId="255FE481" w14:textId="31183723"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8202064"/>
      <w:bookmarkStart w:id="4" w:name="Introduction"/>
      <w:r>
        <w:lastRenderedPageBreak/>
        <w:t>Введение</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8202065"/>
      <w:bookmarkEnd w:id="4"/>
      <w:r>
        <w:t>Сведения о данном документе</w:t>
      </w:r>
      <w:bookmarkEnd w:id="5"/>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8202066"/>
      <w:r>
        <w:t>Содержимое данного документа</w:t>
      </w:r>
      <w:bookmarkEnd w:id="6"/>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E72D01"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E72D01"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E72D01"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E72D01"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E72D01"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7" w:name="_Toc48202067"/>
      <w:r>
        <w:t>Запись продукта</w:t>
      </w:r>
      <w:bookmarkEnd w:id="7"/>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GeneralTerms"/>
      <w:bookmarkStart w:id="9" w:name="_Toc48202068"/>
      <w:bookmarkEnd w:id="8"/>
      <w:r>
        <w:t>Пояснения и сводка изменений в данном Документе</w:t>
      </w:r>
      <w:bookmarkEnd w:id="9"/>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90" w:type="dxa"/>
        <w:tblInd w:w="-5" w:type="dxa"/>
        <w:tblLook w:val="04A0" w:firstRow="1" w:lastRow="0" w:firstColumn="1" w:lastColumn="0" w:noHBand="0" w:noVBand="1"/>
      </w:tblPr>
      <w:tblGrid>
        <w:gridCol w:w="5350"/>
        <w:gridCol w:w="5540"/>
      </w:tblGrid>
      <w:tr w:rsidR="00BE24AF" w:rsidRPr="00FE3456" w14:paraId="362C621E" w14:textId="77777777" w:rsidTr="008E032C">
        <w:trPr>
          <w:cantSplit/>
        </w:trPr>
        <w:tc>
          <w:tcPr>
            <w:tcW w:w="5350" w:type="dxa"/>
            <w:shd w:val="clear" w:color="auto" w:fill="0072C6"/>
          </w:tcPr>
          <w:p w14:paraId="6856D0FC" w14:textId="77777777" w:rsidR="00BE24AF" w:rsidRPr="00FE3456" w:rsidRDefault="00BE24AF" w:rsidP="008022B0">
            <w:pPr>
              <w:pStyle w:val="ProductList-OfferingBody"/>
              <w:rPr>
                <w:color w:val="FFFFFF" w:themeColor="background1"/>
              </w:rPr>
            </w:pPr>
            <w:r>
              <w:rPr>
                <w:color w:val="FFFFFF" w:themeColor="background1"/>
              </w:rPr>
              <w:t>Добавленные положения</w:t>
            </w:r>
          </w:p>
        </w:tc>
        <w:tc>
          <w:tcPr>
            <w:tcW w:w="5540" w:type="dxa"/>
            <w:shd w:val="clear" w:color="auto" w:fill="0072C6"/>
          </w:tcPr>
          <w:p w14:paraId="659C3F11" w14:textId="77777777" w:rsidR="00BE24AF" w:rsidRPr="00FE3456" w:rsidRDefault="00BE24AF" w:rsidP="008022B0">
            <w:pPr>
              <w:pStyle w:val="ProductList-OfferingBody"/>
              <w:rPr>
                <w:color w:val="FFFFFF" w:themeColor="background1"/>
              </w:rPr>
            </w:pPr>
            <w:r>
              <w:rPr>
                <w:color w:val="FFFFFF" w:themeColor="background1"/>
              </w:rPr>
              <w:t>Исключенные положения</w:t>
            </w:r>
          </w:p>
        </w:tc>
      </w:tr>
    </w:tbl>
    <w:tbl>
      <w:tblPr>
        <w:tblStyle w:val="TableGrid2"/>
        <w:tblW w:w="10885" w:type="dxa"/>
        <w:tblLook w:val="04A0" w:firstRow="1" w:lastRow="0" w:firstColumn="1" w:lastColumn="0" w:noHBand="0" w:noVBand="1"/>
      </w:tblPr>
      <w:tblGrid>
        <w:gridCol w:w="5395"/>
        <w:gridCol w:w="5490"/>
      </w:tblGrid>
      <w:tr w:rsidR="008E032C" w:rsidRPr="00FE3456" w14:paraId="7B3440F3" w14:textId="77777777" w:rsidTr="008E032C">
        <w:trPr>
          <w:tblHeader/>
        </w:trPr>
        <w:tc>
          <w:tcPr>
            <w:tcW w:w="5395" w:type="dxa"/>
            <w:shd w:val="clear" w:color="auto" w:fill="auto"/>
          </w:tcPr>
          <w:p w14:paraId="7E629957" w14:textId="1DEC812B" w:rsidR="008E032C" w:rsidRPr="00FE3456" w:rsidRDefault="008E032C" w:rsidP="008E032C">
            <w:pPr>
              <w:pStyle w:val="ProductList-Body"/>
            </w:pPr>
            <w:r w:rsidRPr="00E27636">
              <w:rPr>
                <w:sz w:val="16"/>
                <w:szCs w:val="16"/>
              </w:rPr>
              <w:t>Azure DevOps Server 20</w:t>
            </w:r>
            <w:r>
              <w:rPr>
                <w:sz w:val="16"/>
                <w:szCs w:val="16"/>
              </w:rPr>
              <w:t>20</w:t>
            </w:r>
            <w:r w:rsidRPr="00E27636">
              <w:rPr>
                <w:sz w:val="16"/>
                <w:szCs w:val="16"/>
              </w:rPr>
              <w:t xml:space="preserve"> (SAL)</w:t>
            </w:r>
          </w:p>
        </w:tc>
        <w:tc>
          <w:tcPr>
            <w:tcW w:w="5490" w:type="dxa"/>
          </w:tcPr>
          <w:p w14:paraId="62B5557B" w14:textId="2528BFF3" w:rsidR="008E032C" w:rsidRDefault="008E032C" w:rsidP="008E032C">
            <w:pPr>
              <w:pStyle w:val="ProductList-Body"/>
            </w:pPr>
            <w:r w:rsidRPr="00E27636">
              <w:rPr>
                <w:sz w:val="16"/>
                <w:szCs w:val="16"/>
              </w:rPr>
              <w:t>Azure DevOps Server 2019 (SAL)</w:t>
            </w:r>
          </w:p>
        </w:tc>
      </w:tr>
      <w:tr w:rsidR="008E032C" w14:paraId="7247467C" w14:textId="77777777" w:rsidTr="008E032C">
        <w:trPr>
          <w:tblHeader/>
        </w:trPr>
        <w:tc>
          <w:tcPr>
            <w:tcW w:w="5395" w:type="dxa"/>
            <w:shd w:val="clear" w:color="auto" w:fill="auto"/>
          </w:tcPr>
          <w:p w14:paraId="1EACA8E9" w14:textId="0BCB8135" w:rsidR="008E032C" w:rsidRPr="00FE3456" w:rsidRDefault="008E032C" w:rsidP="008E032C">
            <w:pPr>
              <w:pStyle w:val="ProductList-Body"/>
            </w:pPr>
            <w:r w:rsidRPr="00E27636">
              <w:rPr>
                <w:sz w:val="16"/>
                <w:szCs w:val="16"/>
              </w:rPr>
              <w:t>Azure DevOps Server 20</w:t>
            </w:r>
            <w:r>
              <w:rPr>
                <w:sz w:val="16"/>
                <w:szCs w:val="16"/>
              </w:rPr>
              <w:t>20</w:t>
            </w:r>
            <w:r w:rsidRPr="00E27636">
              <w:rPr>
                <w:sz w:val="16"/>
                <w:szCs w:val="16"/>
              </w:rPr>
              <w:t xml:space="preserve"> Basic (SAL)</w:t>
            </w:r>
          </w:p>
        </w:tc>
        <w:tc>
          <w:tcPr>
            <w:tcW w:w="5490" w:type="dxa"/>
          </w:tcPr>
          <w:p w14:paraId="69931A35" w14:textId="4372C42E" w:rsidR="008E032C" w:rsidRDefault="008E032C" w:rsidP="008E032C">
            <w:pPr>
              <w:pStyle w:val="ProductList-Body"/>
            </w:pPr>
            <w:r w:rsidRPr="00E27636">
              <w:rPr>
                <w:sz w:val="16"/>
                <w:szCs w:val="16"/>
              </w:rPr>
              <w:t>Azure DevOps Server 2019 Basic (SAL)</w:t>
            </w:r>
          </w:p>
        </w:tc>
      </w:tr>
    </w:tbl>
    <w:p w14:paraId="1F82596A" w14:textId="77777777" w:rsidR="00BE24AF" w:rsidRPr="00022B46" w:rsidRDefault="00BE24AF" w:rsidP="00BE24AF">
      <w:pPr>
        <w:pStyle w:val="ProductList-Body"/>
        <w:rPr>
          <w:lang w:val="en-US"/>
        </w:rPr>
      </w:pPr>
    </w:p>
    <w:p w14:paraId="347051B9" w14:textId="5E82002C" w:rsidR="00842965" w:rsidRPr="00842965" w:rsidRDefault="00E72D01"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hyperlink w:anchor="LicenseTerms_Universal" w:tooltip="Общие условия" w:history="1">
        <w:r w:rsidR="005B78E1">
          <w:rPr>
            <w:rStyle w:val="Hyperlink"/>
            <w:sz w:val="16"/>
            <w:szCs w:val="16"/>
          </w:rPr>
          <w:t>Общие условия</w:t>
        </w:r>
      </w:hyperlink>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_Toc48202069"/>
      <w:bookmarkStart w:id="11" w:name="LicenseTerms"/>
      <w:bookmarkStart w:id="12" w:name="OnlineServices"/>
      <w:bookmarkStart w:id="13" w:name="Software"/>
      <w:r>
        <w:lastRenderedPageBreak/>
        <w:t>Условия лицензии</w:t>
      </w:r>
      <w:bookmarkEnd w:id="10"/>
    </w:p>
    <w:bookmarkEnd w:id="11"/>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8202070"/>
      <w:bookmarkStart w:id="15" w:name="LicenseTerms_Universal"/>
      <w:r>
        <w:t>Универсальные условия лицензирования</w:t>
      </w:r>
      <w:bookmarkEnd w:id="14"/>
    </w:p>
    <w:bookmarkEnd w:id="15"/>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6" w:name="LicenseTerms_Universal_DisasterRecovery"/>
      <w:r>
        <w:t>Права на аварийное восстановление</w:t>
      </w:r>
      <w:bookmarkEnd w:id="16"/>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Включенные технологии</w:t>
      </w:r>
    </w:p>
    <w:bookmarkEnd w:id="18"/>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Измерение производительности</w:t>
      </w:r>
    </w:p>
    <w:bookmarkEnd w:id="19"/>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8022B0">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23"/>
          <w:footerReference w:type="first" r:id="rId24"/>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1" w:name="_Toc48202071"/>
      <w:r>
        <w:lastRenderedPageBreak/>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8202072"/>
      <w:bookmarkEnd w:id="22"/>
      <w:bookmarkEnd w:id="23"/>
      <w:r>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8202073"/>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8202074"/>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8202075"/>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8202076"/>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8202077"/>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8202078"/>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8202079"/>
      <w:bookmarkEnd w:id="42"/>
      <w:r w:rsidRPr="008F4C46">
        <w:lastRenderedPageBreak/>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5"/>
          <w:footerReference w:type="first" r:id="rId26"/>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8202080"/>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8202081"/>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0"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1" w:name="_Toc48202082"/>
      <w:r>
        <w:t>BizTalk Server</w:t>
      </w:r>
      <w:bookmarkEnd w:id="49"/>
      <w:bookmarkEnd w:id="51"/>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bookmarkEnd w:id="50"/>
    <w:p w14:paraId="6950EFA3" w14:textId="4E86CDC4"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599DA00"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0AC311A0"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w:t>
      </w:r>
      <w:r w:rsidR="003A06C3">
        <w:rPr>
          <w:lang w:val="en-US"/>
        </w:rPr>
        <w:t>20</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01B70199"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9D6D76" w:rsidRPr="009D6D76">
              <w:rPr>
                <w:rFonts w:ascii="Calibri Light" w:hAnsi="Calibri Light" w:cs="Calibri Light"/>
                <w:szCs w:val="16"/>
              </w:rPr>
              <w:t>Февраль 2020 г</w:t>
            </w:r>
            <w:r w:rsidR="00B870CD" w:rsidRPr="00BE24AF">
              <w:rPr>
                <w:rFonts w:ascii="Calibri Light" w:hAnsi="Calibri Light" w:cs="Calibri Light"/>
                <w:color w:val="000000" w:themeColor="text1"/>
              </w:rPr>
              <w:t>.</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5FEBAFAB"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w:t>
            </w:r>
            <w:r w:rsidR="003A06C3">
              <w:rPr>
                <w:rFonts w:ascii="Calibri Light" w:hAnsi="Calibri Light" w:cs="Calibri Light"/>
                <w:lang w:val="en-US"/>
              </w:rPr>
              <w:t>6</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w:instrText>
            </w:r>
            <w:r w:rsidR="004A0193">
              <w:rPr>
                <w:rFonts w:ascii="Calibri Light" w:hAnsi="Calibri Light" w:cs="Calibri Light"/>
                <w:lang w:val="en-US"/>
              </w:rPr>
              <w:instrText>6</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EB6034">
      <w:pPr>
        <w:pStyle w:val="ProductList-SubClauseHeading"/>
        <w:keepNext/>
      </w:pPr>
      <w:r>
        <w:lastRenderedPageBreak/>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7780F67E" w14:textId="77777777" w:rsidR="009D6D76" w:rsidRPr="009D6D76" w:rsidRDefault="009D6D76" w:rsidP="009D6D76">
      <w:pPr>
        <w:pStyle w:val="ProductList-ClauseHeading"/>
        <w:tabs>
          <w:tab w:val="clear" w:pos="360"/>
        </w:tabs>
        <w:rPr>
          <w:szCs w:val="18"/>
        </w:rPr>
      </w:pPr>
      <w:r w:rsidRPr="009D6D76">
        <w:rPr>
          <w:szCs w:val="18"/>
        </w:rPr>
        <w:t>3. Лицензионное использование Host Integration Server (HIS)</w:t>
      </w:r>
    </w:p>
    <w:p w14:paraId="297D3018" w14:textId="77777777" w:rsidR="009D6D76" w:rsidRPr="009D6D76" w:rsidRDefault="009D6D76" w:rsidP="009D6D76">
      <w:pPr>
        <w:rPr>
          <w:sz w:val="18"/>
          <w:szCs w:val="18"/>
        </w:rPr>
      </w:pPr>
      <w:r w:rsidRPr="009D6D76">
        <w:rPr>
          <w:sz w:val="18"/>
          <w:szCs w:val="18"/>
        </w:rPr>
        <w:t>Клиент может использовать серверное программное обеспечение HIS и Дополнительное программное обеспечение в соответствии с условиями модели лицензирования «На ядро» (для приложений) с помощью лицензий «на ядро» BizTalk Server. Клиент может использовать Дополнительное программное обеспечение HIS (например, Клиент HIS) только вместе с лицензионным использованием серверного программного обеспечения HIS. Права, относящиеся к этому использованию, определяются выпуском и версией лицензий BizTalk Server, которые Клиент назначает Серверу (например, для получения прав на неограниченную визуализацию требуется лицензия BizTalk Server Enterprise). Использование серверного программного обеспечения HIS ограничивается развертыванием в филиалах в случае использования по лицензии BizTalk Server Branch Edition.</w:t>
      </w:r>
    </w:p>
    <w:p w14:paraId="121F7200" w14:textId="29B5A022" w:rsidR="00006F3F" w:rsidRPr="00B3420A" w:rsidRDefault="003A06C3" w:rsidP="00006F3F">
      <w:pPr>
        <w:pStyle w:val="ProductList-ClauseHeading"/>
        <w:tabs>
          <w:tab w:val="clear" w:pos="360"/>
          <w:tab w:val="clear" w:pos="720"/>
          <w:tab w:val="clear" w:pos="1080"/>
        </w:tabs>
      </w:pPr>
      <w:r>
        <w:rPr>
          <w:lang w:val="en-US"/>
        </w:rPr>
        <w:t>4</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0"/>
          <w:type w:val="continuous"/>
          <w:pgSz w:w="12240" w:h="15840"/>
          <w:pgMar w:top="1166" w:right="720" w:bottom="720" w:left="720" w:header="720" w:footer="720" w:gutter="0"/>
          <w:cols w:space="720"/>
          <w:titlePg/>
          <w:docGrid w:linePitch="360"/>
        </w:sectPr>
      </w:pPr>
      <w:bookmarkStart w:id="53" w:name="_Toc48202083"/>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lastRenderedPageBreak/>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6" w:name="_Toc48202084"/>
      <w:r>
        <w:t>Microsoft Dynamics</w:t>
      </w:r>
      <w:bookmarkEnd w:id="54"/>
      <w:bookmarkEnd w:id="56"/>
    </w:p>
    <w:p w14:paraId="0F0349B9" w14:textId="3AD4988F" w:rsidR="00006F3F" w:rsidRPr="00A47C3B" w:rsidRDefault="00006F3F" w:rsidP="005D7EF7">
      <w:pPr>
        <w:pStyle w:val="ProductList-Offering2Heading"/>
        <w:outlineLvl w:val="2"/>
      </w:pPr>
      <w:bookmarkStart w:id="57" w:name="_Toc48202085"/>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8E032C">
      <w:pPr>
        <w:pStyle w:val="ProductList-ClauseHeading"/>
        <w:keepNext/>
      </w:pPr>
      <w:r>
        <w:lastRenderedPageBreak/>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3"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59" w:name="_Toc468344673"/>
    <w:bookmarkStart w:id="60" w:name="_Toc470853177"/>
    <w:bookmarkStart w:id="61"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192CB883" w:rsidR="00DE0AAE" w:rsidRDefault="00DE0AAE" w:rsidP="008E032C">
      <w:pPr>
        <w:pStyle w:val="ProductList-Offering2Heading"/>
        <w:pageBreakBefore/>
        <w:outlineLvl w:val="2"/>
      </w:pPr>
      <w:bookmarkStart w:id="62" w:name="_Toc48202086"/>
      <w:r>
        <w:lastRenderedPageBreak/>
        <w:t xml:space="preserve">Microsoft Dynamics </w:t>
      </w:r>
      <w:bookmarkEnd w:id="59"/>
      <w:r>
        <w:t>365</w:t>
      </w:r>
      <w:bookmarkEnd w:id="60"/>
      <w:bookmarkEnd w:id="62"/>
    </w:p>
    <w:p w14:paraId="4B0410B2" w14:textId="77777777" w:rsidR="00DE0AAE" w:rsidRDefault="00DE0AAE" w:rsidP="00DE0AAE">
      <w:pPr>
        <w:spacing w:after="0" w:line="240" w:lineRule="auto"/>
        <w:rPr>
          <w:sz w:val="18"/>
          <w:szCs w:val="18"/>
        </w:rPr>
        <w:sectPr w:rsidR="00DE0AAE" w:rsidSect="00383BC7">
          <w:footerReference w:type="first" r:id="rId34"/>
          <w:type w:val="continuous"/>
          <w:pgSz w:w="12240" w:h="15840"/>
          <w:pgMar w:top="1166" w:right="720" w:bottom="720" w:left="720" w:header="720" w:footer="720" w:gutter="0"/>
          <w:cols w:space="720"/>
          <w:titlePg/>
          <w:docGrid w:linePitch="360"/>
        </w:sectPr>
      </w:pPr>
    </w:p>
    <w:bookmarkEnd w:id="61"/>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8E032C">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8E032C">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8E032C">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8E032C">
      <w:pPr>
        <w:pStyle w:val="ProductList-ClauseHeading"/>
        <w:keepNext/>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3"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hyperlink r:id="rId35" w:history="1">
        <w:r w:rsidRPr="00F356CE">
          <w:rPr>
            <w:rStyle w:val="Hyperlink"/>
            <w:spacing w:val="-2"/>
          </w:rPr>
          <w:t>http://download.microsoft.com/download/D/B/3/DB37B5D3-7796-4536-AC8D-8EFDB95CD52F/Team-Members-Grandfathering.pdf</w:t>
        </w:r>
      </w:hyperlink>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EB6034">
      <w:pPr>
        <w:pStyle w:val="ProductList-ClauseHeading"/>
        <w:keepNext/>
        <w:tabs>
          <w:tab w:val="clear" w:pos="360"/>
          <w:tab w:val="clear" w:pos="720"/>
          <w:tab w:val="clear" w:pos="1080"/>
        </w:tabs>
      </w:pPr>
      <w:r w:rsidRPr="00F356CE">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8022B0">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8022B0">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8022B0">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8022B0">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8022B0">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4" w:name="_Toc48202087"/>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3"/>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8E032C">
      <w:pPr>
        <w:pStyle w:val="ProductList-ClauseHeading"/>
        <w:keepNext/>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361E1031" w14:textId="77777777" w:rsidR="008E032C" w:rsidRDefault="00E72D01" w:rsidP="008E032C">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8E032C">
          <w:rPr>
            <w:rStyle w:val="Hyperlink"/>
            <w:sz w:val="16"/>
            <w:szCs w:val="16"/>
          </w:rPr>
          <w:t>Оглавление</w:t>
        </w:r>
      </w:hyperlink>
      <w:r w:rsidR="008E032C">
        <w:rPr>
          <w:sz w:val="16"/>
          <w:szCs w:val="16"/>
        </w:rPr>
        <w:t xml:space="preserve"> / </w:t>
      </w:r>
      <w:hyperlink w:anchor="LicenseTerms_Universal" w:tooltip="Общие условия" w:history="1">
        <w:r w:rsidR="008E032C">
          <w:rPr>
            <w:rStyle w:val="Hyperlink"/>
            <w:sz w:val="16"/>
            <w:szCs w:val="16"/>
          </w:rPr>
          <w:t>Общие условия</w:t>
        </w:r>
      </w:hyperlink>
      <w:r w:rsidR="008E032C">
        <w:rPr>
          <w:sz w:val="16"/>
          <w:szCs w:val="16"/>
        </w:rPr>
        <w:t xml:space="preserve"> / </w:t>
      </w:r>
      <w:hyperlink w:anchor="Index" w:tooltip="Указатель" w:history="1">
        <w:r w:rsidR="008E032C">
          <w:rPr>
            <w:rStyle w:val="Hyperlink"/>
            <w:sz w:val="16"/>
            <w:szCs w:val="16"/>
          </w:rPr>
          <w:t>Указатель</w:t>
        </w:r>
      </w:hyperlink>
    </w:p>
    <w:p w14:paraId="1B4E8835" w14:textId="7FCB9224" w:rsidR="00A47C3B" w:rsidRPr="00B34C47" w:rsidRDefault="00A47C3B" w:rsidP="00A47C3B">
      <w:pPr>
        <w:pStyle w:val="ProductList-Offering2Heading"/>
        <w:outlineLvl w:val="2"/>
      </w:pPr>
      <w:bookmarkStart w:id="65" w:name="_Toc48202088"/>
      <w:r>
        <w:t>Microsoft Dynamics GP</w:t>
      </w:r>
      <w:bookmarkEnd w:id="65"/>
    </w:p>
    <w:p w14:paraId="2ECC2B4D" w14:textId="77777777" w:rsidR="00A47C3B" w:rsidRDefault="00A47C3B" w:rsidP="00A47C3B">
      <w:pPr>
        <w:spacing w:after="0" w:line="240" w:lineRule="auto"/>
        <w:rPr>
          <w:sz w:val="18"/>
          <w:szCs w:val="18"/>
        </w:rPr>
        <w:sectPr w:rsidR="00A47C3B" w:rsidSect="008E032C">
          <w:footerReference w:type="first" r:id="rId37"/>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4EACDE1E" w14:textId="58C388AA" w:rsidR="007A11DE" w:rsidRPr="00EB6034" w:rsidRDefault="00E72D01" w:rsidP="00EB6034">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66647EA" w14:textId="51DF61BC" w:rsidR="008C3E1F" w:rsidRPr="00B3420A" w:rsidRDefault="008C3E1F" w:rsidP="005D7EF7">
      <w:pPr>
        <w:pStyle w:val="ProductList-Offering2Heading"/>
        <w:outlineLvl w:val="2"/>
      </w:pPr>
      <w:bookmarkStart w:id="66" w:name="_Toc48202089"/>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EB6034">
      <w:pPr>
        <w:pStyle w:val="ProductList-ClauseHeading"/>
        <w:keepNext/>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7" w:name="_Sec611"/>
    <w:p w14:paraId="262F8D15" w14:textId="77777777" w:rsidR="008E032C" w:rsidRPr="00EB6034" w:rsidRDefault="008E032C" w:rsidP="008E032C">
      <w:pPr>
        <w:pStyle w:val="ProductList-Body"/>
        <w:shd w:val="clear" w:color="auto" w:fill="A6A6A6" w:themeFill="background1" w:themeFillShade="A6"/>
        <w:spacing w:before="120" w:after="240"/>
        <w:jc w:val="right"/>
        <w:rPr>
          <w:color w:val="0563C1" w:themeColor="hyperlink"/>
          <w:sz w:val="16"/>
          <w:szCs w:val="16"/>
          <w:u w:val="single"/>
        </w:rPr>
      </w:pPr>
      <w:r>
        <w:fldChar w:fldCharType="begin"/>
      </w:r>
      <w:r>
        <w:instrText xml:space="preserve"> HYPERLINK \l "TableOfContents" \o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89CD5CC" w14:textId="3356BBC3" w:rsidR="00B361F2" w:rsidRPr="00B3420A" w:rsidRDefault="00B361F2" w:rsidP="005D7EF7">
      <w:pPr>
        <w:pStyle w:val="ProductList-OfferingGroupHeading"/>
        <w:outlineLvl w:val="1"/>
      </w:pPr>
      <w:bookmarkStart w:id="68" w:name="_Toc48202090"/>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8202091"/>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8E032C">
          <w:footerReference w:type="first" r:id="rId39"/>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3" w:name="_Toc48202092"/>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4" w:name="_Sec612"/>
    <w:p w14:paraId="2760E100" w14:textId="42FE6B4F" w:rsidR="002175A1" w:rsidRPr="00EB6034" w:rsidRDefault="00BE24AF" w:rsidP="00EB6034">
      <w:pPr>
        <w:pStyle w:val="ProductList-Body"/>
        <w:shd w:val="clear" w:color="auto" w:fill="A6A6A6" w:themeFill="background1" w:themeFillShade="A6"/>
        <w:spacing w:before="120" w:after="240"/>
        <w:jc w:val="right"/>
        <w:rPr>
          <w:color w:val="0563C1" w:themeColor="hyperlink"/>
          <w:sz w:val="16"/>
          <w:szCs w:val="16"/>
          <w:u w:val="single"/>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C43B960" w14:textId="3C3288EE" w:rsidR="00B361F2" w:rsidRPr="00B3420A" w:rsidRDefault="00B361F2" w:rsidP="005D7EF7">
      <w:pPr>
        <w:pStyle w:val="ProductList-Offering2Heading"/>
        <w:outlineLvl w:val="2"/>
      </w:pPr>
      <w:bookmarkStart w:id="75" w:name="_Toc48202093"/>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6" w:name="_Toc48202094"/>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8202095"/>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7058B">
      <w:pPr>
        <w:pStyle w:val="ProductList-Body"/>
        <w:keepNext/>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r>
              <w:t>Лицензия</w:t>
            </w:r>
            <w:r w:rsidRPr="00016F75">
              <w:rPr>
                <w:lang w:val="fr-FR"/>
              </w:rPr>
              <w:t xml:space="preserve"> Core CAL</w:t>
            </w:r>
            <w:r>
              <w:fldChar w:fldCharType="begin"/>
            </w:r>
            <w:r w:rsidRPr="00016F75">
              <w:rPr>
                <w:lang w:val="fr-FR"/>
              </w:rPr>
              <w:instrText>XE "</w:instrText>
            </w:r>
            <w:r>
              <w:instrText>Лицензия</w:instrText>
            </w:r>
            <w:r w:rsidRPr="00016F75">
              <w:rPr>
                <w:lang w:val="fr-FR"/>
              </w:rPr>
              <w:instrText xml:space="preserve"> Core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r>
              <w:instrText>Лицензии</w:instrText>
            </w:r>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8"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8E032C">
      <w:pPr>
        <w:pStyle w:val="ProductList-Offering2Heading"/>
        <w:pageBreakBefore/>
        <w:outlineLvl w:val="2"/>
      </w:pPr>
      <w:bookmarkStart w:id="79" w:name="_Toc48202096"/>
      <w:r w:rsidRPr="00AF46DB">
        <w:t>Project Server</w:t>
      </w:r>
      <w:bookmarkEnd w:id="79"/>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8"/>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0" w:name="_Toc48202097"/>
      <w:r>
        <w:t>SharePoint Server</w:t>
      </w:r>
      <w:bookmarkEnd w:id="80"/>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8022B0">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8022B0">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EB6034">
      <w:pPr>
        <w:pStyle w:val="ProductList-SubClauseHeading"/>
        <w:keepNext/>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1"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2" w:name="_Toc48202098"/>
      <w:r>
        <w:t>Skype для бизнеса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81"/>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8E032C">
      <w:pPr>
        <w:pStyle w:val="ProductList-ClauseHeading"/>
        <w:keepNext/>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2F2BC8">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2F2BC8">
            <w:pPr>
              <w:pStyle w:val="ProductList-TableBody"/>
              <w:keepNext/>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2F2BC8">
            <w:pPr>
              <w:pStyle w:val="ProductList-TableBody"/>
              <w:keepNext/>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2F2BC8">
            <w:pPr>
              <w:pStyle w:val="ProductList-TableBody"/>
              <w:keepNext/>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2F2BC8">
            <w:pPr>
              <w:pStyle w:val="ProductList-TableBody"/>
              <w:keepNext/>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2F2BC8">
            <w:pPr>
              <w:pStyle w:val="ProductList-TableBody"/>
              <w:keepNext/>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2F2BC8">
            <w:pPr>
              <w:pStyle w:val="ProductList-TableBody"/>
              <w:keepNext/>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3" w:name="ProductEntries_SQL"/>
    <w:bookmarkStart w:id="84" w:name="_Toc492325680"/>
    <w:bookmarkStart w:id="85" w:name="ProductEntries_RServer"/>
    <w:bookmarkStart w:id="86"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7" w:name="_Toc48202099"/>
      <w:r w:rsidRPr="00A07F0B">
        <w:t>SQL Server</w:t>
      </w:r>
      <w:bookmarkEnd w:id="83"/>
      <w:bookmarkEnd w:id="84"/>
      <w:bookmarkEnd w:id="85"/>
      <w:bookmarkEnd w:id="86"/>
      <w:bookmarkEnd w:id="87"/>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6"/>
          <w:type w:val="continuous"/>
          <w:pgSz w:w="12240" w:h="15840"/>
          <w:pgMar w:top="1166" w:right="720" w:bottom="720" w:left="720" w:header="720" w:footer="720" w:gutter="0"/>
          <w:cols w:space="720"/>
          <w:titlePg/>
          <w:docGrid w:linePitch="360"/>
        </w:sectPr>
      </w:pPr>
    </w:p>
    <w:p w14:paraId="2758F756" w14:textId="15D23845" w:rsidR="006855EE" w:rsidRPr="00A07F0B" w:rsidRDefault="006855EE" w:rsidP="006855EE">
      <w:pPr>
        <w:pStyle w:val="ProductList-Body"/>
      </w:pPr>
      <w:r w:rsidRPr="00A07F0B">
        <w:t>SQL Server 201</w:t>
      </w:r>
      <w:r w:rsidR="008022B0">
        <w:rPr>
          <w:lang w:val="en-US"/>
        </w:rPr>
        <w:t>9</w:t>
      </w:r>
      <w:r w:rsidRPr="00A07F0B">
        <w:t xml:space="preserve"> Standard Core</w:t>
      </w:r>
      <w:r w:rsidRPr="00A07F0B">
        <w:fldChar w:fldCharType="begin"/>
      </w:r>
      <w:r w:rsidRPr="00A07F0B">
        <w:instrText>XE "SQL Server 201</w:instrText>
      </w:r>
      <w:r w:rsidR="008022B0">
        <w:rPr>
          <w:lang w:val="en-US"/>
        </w:rPr>
        <w:instrText>9</w:instrText>
      </w:r>
      <w:r w:rsidRPr="00A07F0B">
        <w:instrText xml:space="preserve"> Standard Core"</w:instrText>
      </w:r>
      <w:r w:rsidRPr="00A07F0B">
        <w:fldChar w:fldCharType="end"/>
      </w:r>
      <w:r w:rsidRPr="00A07F0B">
        <w:t xml:space="preserve"> (лицензия «на ядро»)</w:t>
      </w:r>
    </w:p>
    <w:p w14:paraId="1B1563EE" w14:textId="26BC3E7E" w:rsidR="006855EE" w:rsidRPr="00A07F0B" w:rsidRDefault="006855EE" w:rsidP="006855EE">
      <w:pPr>
        <w:pStyle w:val="ProductList-Body"/>
      </w:pPr>
      <w:r w:rsidRPr="00A07F0B">
        <w:t>SQL Server 201</w:t>
      </w:r>
      <w:r w:rsidR="008022B0">
        <w:rPr>
          <w:lang w:val="en-US"/>
        </w:rPr>
        <w:t>9</w:t>
      </w:r>
      <w:r w:rsidRPr="00A07F0B">
        <w:t xml:space="preserve"> Enterprise Core</w:t>
      </w:r>
      <w:r w:rsidRPr="00A07F0B">
        <w:fldChar w:fldCharType="begin"/>
      </w:r>
      <w:r w:rsidRPr="00A07F0B">
        <w:instrText>XE "SQL Server 201</w:instrText>
      </w:r>
      <w:r w:rsidR="008022B0">
        <w:rPr>
          <w:lang w:val="en-US"/>
        </w:rPr>
        <w:instrText>9</w:instrText>
      </w:r>
      <w:r w:rsidRPr="00A07F0B">
        <w:instrText xml:space="preserve"> Enterprise Core"</w:instrText>
      </w:r>
      <w:r w:rsidRPr="00A07F0B">
        <w:fldChar w:fldCharType="end"/>
      </w:r>
      <w:r w:rsidRPr="00A07F0B">
        <w:t xml:space="preserve"> (лицензия «на ядро»)</w:t>
      </w:r>
    </w:p>
    <w:p w14:paraId="1EA75217" w14:textId="7BCDF070" w:rsidR="006855EE" w:rsidRPr="00A07F0B" w:rsidRDefault="006855EE" w:rsidP="006855EE">
      <w:pPr>
        <w:pStyle w:val="ProductList-Body"/>
      </w:pPr>
      <w:r w:rsidRPr="00A07F0B">
        <w:t>SQL Server 201</w:t>
      </w:r>
      <w:r w:rsidR="008022B0">
        <w:rPr>
          <w:lang w:val="en-US"/>
        </w:rPr>
        <w:t>9</w:t>
      </w:r>
      <w:r w:rsidRPr="00A07F0B">
        <w:t xml:space="preserve"> Web Core</w:t>
      </w:r>
      <w:r w:rsidRPr="00A07F0B">
        <w:fldChar w:fldCharType="begin"/>
      </w:r>
      <w:r w:rsidRPr="00A07F0B">
        <w:instrText>XE "SQL Server 201</w:instrText>
      </w:r>
      <w:r w:rsidR="008022B0">
        <w:rPr>
          <w:lang w:val="en-US"/>
        </w:rPr>
        <w:instrText>9</w:instrText>
      </w:r>
      <w:r w:rsidRPr="00A07F0B">
        <w:instrText xml:space="preserve"> Web Core"</w:instrText>
      </w:r>
      <w:r w:rsidRPr="00A07F0B">
        <w:fldChar w:fldCharType="end"/>
      </w:r>
      <w:r w:rsidRPr="00A07F0B">
        <w:t xml:space="preserve"> (лицензия «на ядро»)</w:t>
      </w:r>
    </w:p>
    <w:p w14:paraId="140511C7" w14:textId="48EB67D0" w:rsidR="006855EE" w:rsidRPr="00A07F0B" w:rsidRDefault="006855EE" w:rsidP="006855EE">
      <w:pPr>
        <w:pStyle w:val="ProductList-Body"/>
      </w:pPr>
      <w:r w:rsidRPr="00A07F0B">
        <w:t>SQL Server 201</w:t>
      </w:r>
      <w:r w:rsidR="008022B0">
        <w:rPr>
          <w:lang w:val="en-US"/>
        </w:rPr>
        <w:t>9</w:t>
      </w:r>
      <w:r w:rsidRPr="00A07F0B">
        <w:t xml:space="preserve"> Standard</w:t>
      </w:r>
      <w:r w:rsidRPr="00A07F0B">
        <w:fldChar w:fldCharType="begin"/>
      </w:r>
      <w:r w:rsidRPr="00A07F0B">
        <w:instrText>XE "SQL Server 201</w:instrText>
      </w:r>
      <w:r w:rsidR="008022B0">
        <w:rPr>
          <w:lang w:val="en-US"/>
        </w:rPr>
        <w:instrText>9</w:instrText>
      </w:r>
      <w:r w:rsidRPr="00A07F0B">
        <w:instrText xml:space="preserve">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7CFA07C7" w14:textId="77777777" w:rsidR="008022B0" w:rsidRPr="008022B0" w:rsidRDefault="006855EE" w:rsidP="008022B0">
            <w:pPr>
              <w:spacing w:before="40" w:after="40" w:line="240" w:lineRule="auto"/>
              <w:ind w:left="14" w:right="-115"/>
              <w:rPr>
                <w:rFonts w:asciiTheme="majorHAnsi" w:hAnsiTheme="majorHAnsi" w:cstheme="majorHAnsi"/>
                <w:sz w:val="16"/>
                <w:szCs w:val="16"/>
              </w:rPr>
            </w:pPr>
            <w:r w:rsidRPr="008022B0">
              <w:rPr>
                <w:rFonts w:asciiTheme="majorHAnsi" w:hAnsiTheme="majorHAnsi" w:cstheme="majorHAnsi"/>
                <w:color w:val="0563C1"/>
                <w:sz w:val="16"/>
                <w:szCs w:val="16"/>
              </w:rPr>
              <w:fldChar w:fldCharType="begin"/>
            </w:r>
            <w:r w:rsidRPr="008022B0">
              <w:rPr>
                <w:rStyle w:val="ProductList-BodyChar"/>
                <w:rFonts w:asciiTheme="majorHAnsi" w:hAnsiTheme="majorHAnsi" w:cstheme="majorHAnsi"/>
                <w:color w:val="0563C1"/>
                <w:sz w:val="16"/>
                <w:szCs w:val="16"/>
              </w:rPr>
              <w:instrText>AutoTextList</w:instrText>
            </w:r>
            <w:r w:rsidRPr="008022B0">
              <w:rPr>
                <w:rFonts w:asciiTheme="majorHAnsi" w:hAnsiTheme="majorHAnsi" w:cstheme="majorHAnsi"/>
                <w:color w:val="0563C1"/>
                <w:sz w:val="16"/>
                <w:szCs w:val="16"/>
              </w:rPr>
              <w:instrText xml:space="preserve">  \t "</w:instrText>
            </w:r>
            <w:r w:rsidRPr="008022B0">
              <w:rPr>
                <w:rStyle w:val="ProductList-BodyChar"/>
                <w:rFonts w:asciiTheme="majorHAnsi" w:hAnsiTheme="majorHAnsi" w:cstheme="majorHAnsi"/>
                <w:color w:val="0563C1"/>
                <w:sz w:val="16"/>
                <w:szCs w:val="16"/>
              </w:rPr>
              <w:instrText>Дата доступности — первая дата доступности Продукта, представленная в формате «месяц/год»."</w:instrText>
            </w:r>
            <w:r w:rsidRPr="008022B0">
              <w:rPr>
                <w:rFonts w:asciiTheme="majorHAnsi" w:hAnsiTheme="majorHAnsi" w:cstheme="majorHAnsi"/>
                <w:color w:val="0563C1"/>
                <w:sz w:val="16"/>
                <w:szCs w:val="16"/>
              </w:rPr>
              <w:fldChar w:fldCharType="separate"/>
            </w:r>
            <w:r w:rsidRPr="008022B0">
              <w:rPr>
                <w:rFonts w:asciiTheme="majorHAnsi" w:hAnsiTheme="majorHAnsi" w:cstheme="majorHAnsi"/>
                <w:color w:val="0563C1"/>
                <w:sz w:val="16"/>
                <w:szCs w:val="16"/>
              </w:rPr>
              <w:t>Дата доступности</w:t>
            </w:r>
            <w:r w:rsidRPr="008022B0">
              <w:rPr>
                <w:rFonts w:asciiTheme="majorHAnsi" w:hAnsiTheme="majorHAnsi" w:cstheme="majorHAnsi"/>
                <w:color w:val="0563C1"/>
                <w:sz w:val="16"/>
                <w:szCs w:val="16"/>
              </w:rPr>
              <w:fldChar w:fldCharType="end"/>
            </w:r>
            <w:r w:rsidRPr="008022B0">
              <w:rPr>
                <w:rFonts w:asciiTheme="majorHAnsi" w:hAnsiTheme="majorHAnsi" w:cstheme="majorHAnsi"/>
                <w:color w:val="000000" w:themeColor="text1"/>
                <w:sz w:val="16"/>
                <w:szCs w:val="16"/>
              </w:rPr>
              <w:t>:</w:t>
            </w:r>
            <w:r w:rsidRPr="008022B0">
              <w:rPr>
                <w:rFonts w:asciiTheme="majorHAnsi" w:hAnsiTheme="majorHAnsi" w:cstheme="majorHAnsi"/>
                <w:sz w:val="16"/>
                <w:szCs w:val="16"/>
              </w:rPr>
              <w:t xml:space="preserve"> </w:t>
            </w:r>
            <w:r w:rsidR="008022B0" w:rsidRPr="008022B0">
              <w:rPr>
                <w:rFonts w:asciiTheme="majorHAnsi" w:hAnsiTheme="majorHAnsi" w:cstheme="majorHAnsi"/>
                <w:sz w:val="16"/>
                <w:szCs w:val="16"/>
              </w:rPr>
              <w:t>ноябрь</w:t>
            </w:r>
          </w:p>
          <w:p w14:paraId="143D3E9E" w14:textId="5DA423B0" w:rsidR="006855EE" w:rsidRPr="00A07F0B" w:rsidRDefault="006855EE" w:rsidP="008022B0">
            <w:pPr>
              <w:pStyle w:val="ProductList-OfferingBody"/>
              <w:tabs>
                <w:tab w:val="clear" w:pos="360"/>
                <w:tab w:val="clear" w:pos="720"/>
                <w:tab w:val="clear" w:pos="1080"/>
              </w:tabs>
              <w:spacing w:before="40" w:after="40"/>
              <w:ind w:left="14" w:right="-115"/>
              <w:rPr>
                <w:rFonts w:asciiTheme="majorHAnsi" w:hAnsiTheme="majorHAnsi"/>
              </w:rPr>
            </w:pPr>
            <w:r w:rsidRPr="008022B0">
              <w:rPr>
                <w:rFonts w:asciiTheme="majorHAnsi" w:hAnsiTheme="majorHAnsi" w:cstheme="majorHAnsi"/>
                <w:szCs w:val="16"/>
              </w:rPr>
              <w:t xml:space="preserve"> 201</w:t>
            </w:r>
            <w:r w:rsidR="008022B0" w:rsidRPr="008022B0">
              <w:rPr>
                <w:rFonts w:asciiTheme="majorHAnsi" w:hAnsiTheme="majorHAnsi" w:cstheme="majorHAnsi"/>
                <w:szCs w:val="16"/>
                <w:lang w:val="en-US"/>
              </w:rPr>
              <w:t>9</w:t>
            </w:r>
            <w:r w:rsidRPr="008022B0">
              <w:rPr>
                <w:rFonts w:asciiTheme="majorHAnsi" w:hAnsiTheme="majorHAnsi" w:cstheme="majorHAnsi"/>
                <w:szCs w:val="16"/>
              </w:rPr>
              <w:t xml:space="preserve">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4AC7ABBA"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w:t>
            </w:r>
            <w:r w:rsidR="008022B0">
              <w:rPr>
                <w:lang w:val="en-US"/>
              </w:rPr>
              <w:t>7</w:t>
            </w:r>
            <w:r w:rsidRPr="00A07F0B">
              <w:fldChar w:fldCharType="begin"/>
            </w:r>
            <w:r w:rsidRPr="00A07F0B">
              <w:instrText>XE "SQL Server 201</w:instrText>
            </w:r>
            <w:r w:rsidR="008022B0">
              <w:rPr>
                <w:lang w:val="en-US"/>
              </w:rPr>
              <w:instrText>7</w:instrText>
            </w:r>
            <w:r w:rsidRPr="00A07F0B">
              <w:instrText>"</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46714D00"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w:t>
            </w:r>
            <w:r w:rsidR="00273D8E">
              <w:rPr>
                <w:color w:val="000000" w:themeColor="text1"/>
                <w:lang w:val="en-US"/>
              </w:rPr>
              <w:t>9</w:t>
            </w:r>
            <w:r w:rsidRPr="00A07F0B">
              <w:rPr>
                <w:color w:val="000000" w:themeColor="text1"/>
              </w:rPr>
              <w:t xml:space="preserve">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8E032C">
      <w:pPr>
        <w:pStyle w:val="ProductList-ClauseHeading"/>
        <w:keepNext/>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7"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8"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8" w:name="_Toc48202100"/>
      <w:r>
        <w:t>Пакеты</w:t>
      </w:r>
      <w:bookmarkEnd w:id="88"/>
    </w:p>
    <w:p w14:paraId="28EE1939" w14:textId="0EAFD265" w:rsidR="002E331D" w:rsidRPr="00B3420A" w:rsidRDefault="002E331D" w:rsidP="002E331D">
      <w:pPr>
        <w:pStyle w:val="ProductList-Offering2Heading"/>
        <w:outlineLvl w:val="2"/>
      </w:pPr>
      <w:bookmarkStart w:id="89" w:name="_Toc48202101"/>
      <w:r>
        <w:t>Пакет облачной платформы</w:t>
      </w:r>
      <w:bookmarkEnd w:id="89"/>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8E032C" w:rsidRDefault="002E331D" w:rsidP="002E331D">
      <w:pPr>
        <w:pStyle w:val="ProductList-Body"/>
        <w:ind w:left="360"/>
        <w:rPr>
          <w:sz w:val="12"/>
          <w:szCs w:val="12"/>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8E032C" w:rsidRDefault="00CE6A9F" w:rsidP="00760DFD">
      <w:pPr>
        <w:pStyle w:val="ProductList-SubClauseHeading"/>
        <w:rPr>
          <w:sz w:val="12"/>
          <w:szCs w:val="12"/>
        </w:rPr>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8E032C" w:rsidRDefault="002E331D" w:rsidP="002E331D">
      <w:pPr>
        <w:pStyle w:val="ProductList-Body"/>
        <w:rPr>
          <w:sz w:val="12"/>
          <w:szCs w:val="12"/>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8E032C" w:rsidRDefault="00CE6A9F" w:rsidP="001F374C">
      <w:pPr>
        <w:pStyle w:val="ProductList-Body"/>
        <w:ind w:left="360"/>
        <w:rPr>
          <w:sz w:val="12"/>
          <w:szCs w:val="12"/>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8E032C" w:rsidRDefault="002E331D" w:rsidP="002E331D">
      <w:pPr>
        <w:pStyle w:val="ProductList-Body"/>
        <w:rPr>
          <w:sz w:val="12"/>
          <w:szCs w:val="12"/>
        </w:rPr>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0" w:history="1">
        <w:r>
          <w:rPr>
            <w:rStyle w:val="Hyperlink"/>
          </w:rPr>
          <w:t>http://go.microsoft.com/fwlink/?LinkId=290987</w:t>
        </w:r>
      </w:hyperlink>
    </w:p>
    <w:p w14:paraId="5DB7F3B3"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0" w:name="_Toc48202102"/>
      <w:r w:rsidRPr="004838EF">
        <w:rPr>
          <w:lang w:val="fr-FR"/>
        </w:rPr>
        <w:t>Productivity</w:t>
      </w:r>
      <w:r w:rsidRPr="00C522DE">
        <w:t xml:space="preserve"> </w:t>
      </w:r>
      <w:r w:rsidRPr="004838EF">
        <w:rPr>
          <w:lang w:val="fr-FR"/>
        </w:rPr>
        <w:t>Suite</w:t>
      </w:r>
      <w:bookmarkEnd w:id="90"/>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1" w:name="ProductEntries_SystemCenter"/>
    <w:bookmarkStart w:id="92" w:name="_Toc460924313"/>
    <w:bookmarkStart w:id="93" w:name="_Toc451950569"/>
    <w:bookmarkStart w:id="94"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FD7B487"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5" w:name="_Toc48202103"/>
      <w:r w:rsidRPr="001E5584">
        <w:rPr>
          <w:lang w:val="da-DK"/>
        </w:rPr>
        <w:t>System Center</w:t>
      </w:r>
      <w:bookmarkEnd w:id="91"/>
      <w:bookmarkEnd w:id="92"/>
      <w:bookmarkEnd w:id="93"/>
      <w:bookmarkEnd w:id="95"/>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2"/>
          <w:footerReference w:type="first" r:id="rId53"/>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EB6034">
      <w:pPr>
        <w:pStyle w:val="ProductList-ClauseHeading"/>
        <w:keepNext/>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D94270F" w14:textId="5D337F3A" w:rsidR="00DA246B" w:rsidRPr="002F2BC8" w:rsidRDefault="00E72D01" w:rsidP="002F2BC8">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A4C557F" w14:textId="4CC3BEAD" w:rsidR="007062EE" w:rsidRPr="00B3420A" w:rsidRDefault="007062EE" w:rsidP="007062EE">
      <w:pPr>
        <w:pStyle w:val="ProductList-OfferingGroupHeading"/>
        <w:outlineLvl w:val="1"/>
      </w:pPr>
      <w:bookmarkStart w:id="96" w:name="_Toc48202104"/>
      <w:r>
        <w:t>Virtualization Hosting</w:t>
      </w:r>
      <w:bookmarkEnd w:id="96"/>
    </w:p>
    <w:p w14:paraId="6978988D" w14:textId="0F754AA6" w:rsidR="00C94A25" w:rsidRPr="00A47C3B" w:rsidRDefault="00C94A25" w:rsidP="009262D5">
      <w:pPr>
        <w:pStyle w:val="ProductList-Offering2Heading"/>
        <w:outlineLvl w:val="2"/>
      </w:pPr>
      <w:bookmarkStart w:id="97" w:name="_Toc48202105"/>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7"/>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8" w:name="_Toc48202106"/>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99" w:name="_Toc48202107"/>
      <w:r>
        <w:t>Visual Studio</w:t>
      </w:r>
      <w:bookmarkEnd w:id="94"/>
      <w:bookmarkEnd w:id="99"/>
    </w:p>
    <w:p w14:paraId="0812115E" w14:textId="32B8983A" w:rsidR="00AC63E0" w:rsidRPr="00A47C3B" w:rsidRDefault="00AC63E0" w:rsidP="00474818">
      <w:pPr>
        <w:pStyle w:val="ProductList-Offering2Heading"/>
        <w:outlineLvl w:val="2"/>
      </w:pPr>
      <w:bookmarkStart w:id="100" w:name="_Toc48202108"/>
      <w:bookmarkStart w:id="101" w:name="ProductEntries_VisualStudio"/>
      <w:r w:rsidRPr="00752FCC">
        <w:rPr>
          <w:lang w:val="pt-BR"/>
        </w:rPr>
        <w:t>Visual</w:t>
      </w:r>
      <w:r w:rsidRPr="00A47C3B">
        <w:t xml:space="preserve"> </w:t>
      </w:r>
      <w:r w:rsidRPr="00752FCC">
        <w:rPr>
          <w:lang w:val="pt-BR"/>
        </w:rPr>
        <w:t>Studio</w:t>
      </w:r>
      <w:bookmarkEnd w:id="100"/>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bookmarkEnd w:id="101"/>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8"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9"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8022B0">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2"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03" w:name="_Toc2770353"/>
      <w:bookmarkStart w:id="104" w:name="_Toc48202109"/>
      <w:bookmarkStart w:id="105" w:name="ProductEntries_AzureDevOps"/>
      <w:bookmarkStart w:id="106" w:name="_Toc497744269"/>
      <w:bookmarkStart w:id="107" w:name="_Toc527897736"/>
      <w:bookmarkStart w:id="108" w:name="_Toc460924320"/>
      <w:bookmarkStart w:id="109" w:name="_Toc451950576"/>
      <w:bookmarkEnd w:id="102"/>
      <w:r>
        <w:t>Azure Dev Ops Server</w:t>
      </w:r>
      <w:bookmarkEnd w:id="103"/>
      <w:bookmarkEnd w:id="104"/>
    </w:p>
    <w:p w14:paraId="4C7AB9D0" w14:textId="77777777" w:rsidR="00BE24AF" w:rsidRPr="00FE3456" w:rsidRDefault="00BE24AF" w:rsidP="00BE24AF">
      <w:pPr>
        <w:spacing w:after="0" w:line="240" w:lineRule="auto"/>
        <w:rPr>
          <w:sz w:val="18"/>
          <w:szCs w:val="18"/>
        </w:rPr>
        <w:sectPr w:rsidR="00BE24AF" w:rsidRPr="00FE3456" w:rsidSect="008022B0">
          <w:footerReference w:type="first" r:id="rId60"/>
          <w:type w:val="continuous"/>
          <w:pgSz w:w="12240" w:h="15840"/>
          <w:pgMar w:top="1166" w:right="720" w:bottom="720" w:left="720" w:header="720" w:footer="720" w:gutter="0"/>
          <w:cols w:space="720"/>
          <w:titlePg/>
          <w:docGrid w:linePitch="360"/>
        </w:sectPr>
      </w:pPr>
    </w:p>
    <w:bookmarkEnd w:id="105"/>
    <w:p w14:paraId="1B373A2E" w14:textId="00BEB0A1" w:rsidR="00BE24AF" w:rsidRPr="00285798" w:rsidRDefault="00BE24AF" w:rsidP="00BE24AF">
      <w:pPr>
        <w:pStyle w:val="ProductList-Body"/>
      </w:pPr>
      <w:r>
        <w:t xml:space="preserve">Azure DevOps Server </w:t>
      </w:r>
      <w:bookmarkEnd w:id="106"/>
      <w:bookmarkEnd w:id="107"/>
      <w:r>
        <w:t>20</w:t>
      </w:r>
      <w:r w:rsidR="008E032C">
        <w:rPr>
          <w:lang w:val="en-US"/>
        </w:rPr>
        <w:t>20</w:t>
      </w:r>
      <w:r>
        <w:fldChar w:fldCharType="begin"/>
      </w:r>
      <w:r>
        <w:instrText>XE "Azure DevOps Server 20</w:instrText>
      </w:r>
      <w:r w:rsidR="008E032C">
        <w:rPr>
          <w:lang w:val="en-US"/>
        </w:rPr>
        <w:instrText>20</w:instrText>
      </w:r>
      <w:r>
        <w:instrText>"</w:instrText>
      </w:r>
      <w:r>
        <w:fldChar w:fldCharType="end"/>
      </w:r>
      <w:r>
        <w:t xml:space="preserve"> (SAL)</w:t>
      </w:r>
    </w:p>
    <w:p w14:paraId="30BFB37B" w14:textId="38DA0436" w:rsidR="00BE24AF" w:rsidRPr="00285798" w:rsidRDefault="00BE24AF" w:rsidP="00BE24AF">
      <w:pPr>
        <w:pStyle w:val="ProductList-Body"/>
      </w:pPr>
      <w:r>
        <w:t>Azure DevOps Server 20</w:t>
      </w:r>
      <w:r w:rsidR="008E032C">
        <w:rPr>
          <w:lang w:val="en-US"/>
        </w:rPr>
        <w:t>20</w:t>
      </w:r>
      <w:r>
        <w:fldChar w:fldCharType="begin"/>
      </w:r>
      <w:r>
        <w:instrText>XE "Azure DevOps Server 20</w:instrText>
      </w:r>
      <w:r w:rsidR="008E032C">
        <w:rPr>
          <w:lang w:val="en-US"/>
        </w:rPr>
        <w:instrText>20</w:instrText>
      </w:r>
      <w:r>
        <w:instrText>"</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8022B0">
          <w:footerReference w:type="first" r:id="rId61"/>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8022B0">
        <w:tc>
          <w:tcPr>
            <w:tcW w:w="3598" w:type="dxa"/>
            <w:tcBorders>
              <w:top w:val="single" w:sz="24" w:space="0" w:color="00188F"/>
              <w:bottom w:val="single" w:sz="4" w:space="0" w:color="auto"/>
            </w:tcBorders>
            <w:shd w:val="clear" w:color="auto" w:fill="auto"/>
          </w:tcPr>
          <w:p w14:paraId="2567E7AF" w14:textId="1708D7B0" w:rsidR="00BE24AF" w:rsidRPr="00FE3456" w:rsidRDefault="00BE24AF" w:rsidP="008022B0">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r w:rsidR="008E032C" w:rsidRPr="008E032C">
              <w:rPr>
                <w:rFonts w:asciiTheme="majorHAnsi" w:hAnsiTheme="majorHAnsi"/>
              </w:rPr>
              <w:t>сентябрь</w:t>
            </w:r>
            <w:r>
              <w:rPr>
                <w:rFonts w:asciiTheme="majorHAnsi" w:hAnsiTheme="majorHAnsi"/>
              </w:rPr>
              <w:t xml:space="preserve"> 20</w:t>
            </w:r>
            <w:r w:rsidR="008E032C">
              <w:rPr>
                <w:rFonts w:asciiTheme="majorHAnsi" w:hAnsiTheme="majorHAnsi"/>
                <w:lang w:val="en-US"/>
              </w:rPr>
              <w:t>20</w:t>
            </w:r>
            <w:r>
              <w:rPr>
                <w:rFonts w:asciiTheme="majorHAnsi" w:hAnsiTheme="majorHAnsi"/>
              </w:rPr>
              <w:t>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8022B0">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8022B0">
        <w:tc>
          <w:tcPr>
            <w:tcW w:w="3598" w:type="dxa"/>
            <w:tcBorders>
              <w:top w:val="single" w:sz="4" w:space="0" w:color="auto"/>
              <w:bottom w:val="single" w:sz="4" w:space="0" w:color="auto"/>
            </w:tcBorders>
            <w:shd w:val="clear" w:color="auto" w:fill="auto"/>
          </w:tcPr>
          <w:p w14:paraId="22C5B5CF" w14:textId="3855C4BE" w:rsidR="00BE24AF" w:rsidRPr="00022B46" w:rsidRDefault="00BE24AF" w:rsidP="008022B0">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xml:space="preserve">: </w:t>
            </w:r>
            <w:r w:rsidR="008E032C">
              <w:t>Azure DevOps Server 2019</w:t>
            </w:r>
            <w:r w:rsidR="008E032C" w:rsidRPr="00FE3456">
              <w:fldChar w:fldCharType="begin"/>
            </w:r>
            <w:r w:rsidR="008E032C" w:rsidRPr="00FE3456">
              <w:instrText xml:space="preserve"> XE "</w:instrText>
            </w:r>
            <w:r w:rsidR="008E032C">
              <w:instrText>Azure DevOps Server 2019</w:instrText>
            </w:r>
            <w:r w:rsidR="008E032C" w:rsidRPr="00FE3456">
              <w:instrText xml:space="preserve">" </w:instrText>
            </w:r>
            <w:r w:rsidR="008E032C" w:rsidRPr="00FE3456">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8022B0">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8022B0">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8022B0">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8022B0">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8022B0">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8022B0">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8022B0">
        <w:tc>
          <w:tcPr>
            <w:tcW w:w="3598" w:type="dxa"/>
            <w:tcBorders>
              <w:top w:val="single" w:sz="4" w:space="0" w:color="auto"/>
            </w:tcBorders>
            <w:shd w:val="clear" w:color="auto" w:fill="auto"/>
          </w:tcPr>
          <w:p w14:paraId="43E7BB01"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8022B0">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8022B0">
        <w:tc>
          <w:tcPr>
            <w:tcW w:w="3600" w:type="dxa"/>
            <w:tcBorders>
              <w:top w:val="single" w:sz="24" w:space="0" w:color="0072C6"/>
            </w:tcBorders>
            <w:shd w:val="clear" w:color="auto" w:fill="DEEAF6" w:themeFill="accent1" w:themeFillTint="33"/>
          </w:tcPr>
          <w:p w14:paraId="7B65DBBF"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07443990" w:rsidR="00BE24AF" w:rsidRPr="00FE3456" w:rsidRDefault="00BE24AF" w:rsidP="008022B0">
            <w:pPr>
              <w:pStyle w:val="ProductList-Offering"/>
              <w:tabs>
                <w:tab w:val="clear" w:pos="360"/>
                <w:tab w:val="clear" w:pos="720"/>
                <w:tab w:val="clear" w:pos="1080"/>
              </w:tabs>
              <w:spacing w:before="40" w:after="40"/>
            </w:pPr>
            <w:r>
              <w:t>Azure DevOps Server 20</w:t>
            </w:r>
            <w:r w:rsidR="008E032C">
              <w:rPr>
                <w:lang w:val="en-US"/>
              </w:rPr>
              <w:t>20</w:t>
            </w:r>
            <w:r>
              <w:t xml:space="preserve">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8022B0">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8022B0">
        <w:tc>
          <w:tcPr>
            <w:tcW w:w="3240" w:type="dxa"/>
            <w:tcBorders>
              <w:top w:val="single" w:sz="24" w:space="0" w:color="0072C6"/>
            </w:tcBorders>
            <w:shd w:val="clear" w:color="auto" w:fill="DEEAF6" w:themeFill="accent1" w:themeFillTint="33"/>
          </w:tcPr>
          <w:p w14:paraId="23ED25D6"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11BC3849" w:rsidR="00BE24AF" w:rsidRPr="00285798" w:rsidRDefault="00BE24AF" w:rsidP="008022B0">
            <w:pPr>
              <w:pStyle w:val="ProductList-Offering"/>
              <w:tabs>
                <w:tab w:val="clear" w:pos="360"/>
                <w:tab w:val="clear" w:pos="720"/>
                <w:tab w:val="clear" w:pos="1080"/>
                <w:tab w:val="left" w:pos="956"/>
              </w:tabs>
              <w:spacing w:before="40" w:after="40"/>
            </w:pPr>
            <w:r>
              <w:t>Azure DevOps Server 20</w:t>
            </w:r>
            <w:r w:rsidR="008E032C">
              <w:rPr>
                <w:lang w:val="en-US"/>
              </w:rPr>
              <w:t>20</w:t>
            </w:r>
            <w:r>
              <w:t>, лицензия SAL</w:t>
            </w:r>
          </w:p>
          <w:p w14:paraId="07C2E9DC" w14:textId="77777777" w:rsidR="00BE24AF" w:rsidRPr="00FE3456" w:rsidRDefault="00BE24AF" w:rsidP="008022B0">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8022B0">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8022B0">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8022B0">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8022B0">
            <w:pPr>
              <w:pStyle w:val="ProductList-TableBody"/>
            </w:pPr>
          </w:p>
        </w:tc>
      </w:tr>
    </w:tbl>
    <w:p w14:paraId="2B0FA400"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0" w:name="_Toc48202110"/>
      <w:bookmarkStart w:id="111" w:name="ProductEntries_WindowsServer"/>
      <w:r>
        <w:t>Система Windows Server</w:t>
      </w:r>
      <w:bookmarkEnd w:id="108"/>
      <w:bookmarkEnd w:id="109"/>
      <w:bookmarkEnd w:id="110"/>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bookmarkEnd w:id="111"/>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16CD76CF" w14:textId="77777777" w:rsidR="000D7763" w:rsidRPr="009A2137" w:rsidRDefault="000D7763"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bookmarkStart w:id="112" w:name="Glossary"/>
    <w:bookmarkEnd w:id="12"/>
    <w:bookmarkEnd w:id="13"/>
    <w:bookmarkEnd w:id="112"/>
    <w:p w14:paraId="0FD6174E" w14:textId="77777777" w:rsidR="008E032C" w:rsidRDefault="008E032C" w:rsidP="008E032C">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_Toc48202111"/>
      <w:r>
        <w:t>Глоссарий</w:t>
      </w:r>
      <w:bookmarkEnd w:id="113"/>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48202112"/>
      <w:r>
        <w:t>Сведения о правах и условиях</w:t>
      </w:r>
      <w:bookmarkEnd w:id="114"/>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5"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48202113"/>
      <w:r>
        <w:t>Определения</w:t>
      </w:r>
      <w:bookmarkEnd w:id="115"/>
      <w:bookmarkEnd w:id="116"/>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7"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7"/>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E72D01"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8E032C">
          <w:footerReference w:type="default" r:id="rId63"/>
          <w:footerReference w:type="first" r:id="rId64"/>
          <w:type w:val="continuous"/>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8" w:name="Index"/>
      <w:bookmarkStart w:id="119" w:name="_Toc48202114"/>
      <w:bookmarkEnd w:id="118"/>
      <w:r>
        <w:t>Указатель</w:t>
      </w:r>
      <w:bookmarkEnd w:id="119"/>
    </w:p>
    <w:p w14:paraId="027454F9" w14:textId="77777777" w:rsidR="008E032C" w:rsidRDefault="00424F9E" w:rsidP="002024BF">
      <w:pPr>
        <w:pStyle w:val="ProductList-Body"/>
        <w:tabs>
          <w:tab w:val="clear" w:pos="360"/>
          <w:tab w:val="clear" w:pos="720"/>
          <w:tab w:val="clear" w:pos="1080"/>
        </w:tabs>
        <w:rPr>
          <w:rFonts w:cstheme="minorHAnsi"/>
          <w:noProof/>
        </w:rPr>
        <w:sectPr w:rsidR="008E032C" w:rsidSect="008E032C">
          <w:footerReference w:type="first" r:id="rId65"/>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43EC93B2" w14:textId="77777777" w:rsidR="008E032C" w:rsidRDefault="008E032C">
      <w:pPr>
        <w:pStyle w:val="Index1"/>
        <w:tabs>
          <w:tab w:val="right" w:leader="dot" w:pos="5030"/>
        </w:tabs>
        <w:rPr>
          <w:noProof/>
        </w:rPr>
      </w:pPr>
      <w:r>
        <w:rPr>
          <w:noProof/>
        </w:rPr>
        <w:t>Advanced Threat Analytics 2016, 11</w:t>
      </w:r>
    </w:p>
    <w:p w14:paraId="65EAF931" w14:textId="77777777" w:rsidR="008E032C" w:rsidRDefault="008E032C">
      <w:pPr>
        <w:pStyle w:val="Index1"/>
        <w:tabs>
          <w:tab w:val="right" w:leader="dot" w:pos="5030"/>
        </w:tabs>
        <w:rPr>
          <w:noProof/>
        </w:rPr>
      </w:pPr>
      <w:r>
        <w:rPr>
          <w:noProof/>
        </w:rPr>
        <w:t>Azure DevOps Server 2019, 32</w:t>
      </w:r>
    </w:p>
    <w:p w14:paraId="0266C25E" w14:textId="77777777" w:rsidR="008E032C" w:rsidRDefault="008E032C">
      <w:pPr>
        <w:pStyle w:val="Index1"/>
        <w:tabs>
          <w:tab w:val="right" w:leader="dot" w:pos="5030"/>
        </w:tabs>
        <w:rPr>
          <w:noProof/>
        </w:rPr>
      </w:pPr>
      <w:r>
        <w:rPr>
          <w:noProof/>
        </w:rPr>
        <w:t>Azure DevOps Server 2020, 32</w:t>
      </w:r>
    </w:p>
    <w:p w14:paraId="3B3B4366" w14:textId="77777777" w:rsidR="008E032C" w:rsidRDefault="008E032C">
      <w:pPr>
        <w:pStyle w:val="Index1"/>
        <w:tabs>
          <w:tab w:val="right" w:leader="dot" w:pos="5030"/>
        </w:tabs>
        <w:rPr>
          <w:noProof/>
        </w:rPr>
      </w:pPr>
      <w:r>
        <w:rPr>
          <w:noProof/>
        </w:rPr>
        <w:t>Azure DevOps Services, 33</w:t>
      </w:r>
    </w:p>
    <w:p w14:paraId="6B95832F" w14:textId="77777777" w:rsidR="008E032C" w:rsidRDefault="008E032C">
      <w:pPr>
        <w:pStyle w:val="Index1"/>
        <w:tabs>
          <w:tab w:val="right" w:leader="dot" w:pos="5030"/>
        </w:tabs>
        <w:rPr>
          <w:noProof/>
        </w:rPr>
      </w:pPr>
      <w:r w:rsidRPr="00604556">
        <w:rPr>
          <w:rFonts w:ascii="Calibri Light" w:hAnsi="Calibri Light" w:cs="Calibri Light"/>
          <w:noProof/>
        </w:rPr>
        <w:t>BizTalk Server 2016</w:t>
      </w:r>
      <w:r>
        <w:rPr>
          <w:noProof/>
        </w:rPr>
        <w:t>, 11</w:t>
      </w:r>
    </w:p>
    <w:p w14:paraId="61D69ED4" w14:textId="77777777" w:rsidR="008E032C" w:rsidRDefault="008E032C">
      <w:pPr>
        <w:pStyle w:val="Index1"/>
        <w:tabs>
          <w:tab w:val="right" w:leader="dot" w:pos="5030"/>
        </w:tabs>
        <w:rPr>
          <w:noProof/>
        </w:rPr>
      </w:pPr>
      <w:r>
        <w:rPr>
          <w:noProof/>
        </w:rPr>
        <w:t>BizTalk Server 2020 Branch, 11</w:t>
      </w:r>
    </w:p>
    <w:p w14:paraId="0198157E" w14:textId="77777777" w:rsidR="008E032C" w:rsidRDefault="008E032C">
      <w:pPr>
        <w:pStyle w:val="Index1"/>
        <w:tabs>
          <w:tab w:val="right" w:leader="dot" w:pos="5030"/>
        </w:tabs>
        <w:rPr>
          <w:noProof/>
        </w:rPr>
      </w:pPr>
      <w:r>
        <w:rPr>
          <w:noProof/>
        </w:rPr>
        <w:t>BizTalk Server 2020 Enterprise, 11</w:t>
      </w:r>
    </w:p>
    <w:p w14:paraId="427D3A85" w14:textId="77777777" w:rsidR="008E032C" w:rsidRDefault="008E032C">
      <w:pPr>
        <w:pStyle w:val="Index1"/>
        <w:tabs>
          <w:tab w:val="right" w:leader="dot" w:pos="5030"/>
        </w:tabs>
        <w:rPr>
          <w:noProof/>
        </w:rPr>
      </w:pPr>
      <w:r>
        <w:rPr>
          <w:noProof/>
        </w:rPr>
        <w:t>BizTalk Server 2020 Standard, 11</w:t>
      </w:r>
    </w:p>
    <w:p w14:paraId="593ADF8D" w14:textId="77777777" w:rsidR="008E032C" w:rsidRDefault="008E032C">
      <w:pPr>
        <w:pStyle w:val="Index1"/>
        <w:tabs>
          <w:tab w:val="right" w:leader="dot" w:pos="5030"/>
        </w:tabs>
        <w:rPr>
          <w:noProof/>
        </w:rPr>
      </w:pPr>
      <w:r>
        <w:rPr>
          <w:noProof/>
        </w:rPr>
        <w:t>BizTalk Server Branch, 11</w:t>
      </w:r>
    </w:p>
    <w:p w14:paraId="429F045B" w14:textId="77777777" w:rsidR="008E032C" w:rsidRDefault="008E032C">
      <w:pPr>
        <w:pStyle w:val="Index1"/>
        <w:tabs>
          <w:tab w:val="right" w:leader="dot" w:pos="5030"/>
        </w:tabs>
        <w:rPr>
          <w:noProof/>
        </w:rPr>
      </w:pPr>
      <w:r w:rsidRPr="00604556">
        <w:rPr>
          <w:noProof/>
          <w:lang w:val="fr-FR"/>
        </w:rPr>
        <w:t>Core Infrastructure Server Suite Datacenter</w:t>
      </w:r>
      <w:r>
        <w:rPr>
          <w:noProof/>
        </w:rPr>
        <w:t>, 12</w:t>
      </w:r>
    </w:p>
    <w:p w14:paraId="6976F29E" w14:textId="77777777" w:rsidR="008E032C" w:rsidRDefault="008E032C">
      <w:pPr>
        <w:pStyle w:val="Index1"/>
        <w:tabs>
          <w:tab w:val="right" w:leader="dot" w:pos="5030"/>
        </w:tabs>
        <w:rPr>
          <w:noProof/>
        </w:rPr>
      </w:pPr>
      <w:r w:rsidRPr="00604556">
        <w:rPr>
          <w:noProof/>
          <w:lang w:val="fr-FR"/>
        </w:rPr>
        <w:t>Core Infrastructure Server Suite Standard</w:t>
      </w:r>
      <w:r>
        <w:rPr>
          <w:noProof/>
        </w:rPr>
        <w:t>, 12</w:t>
      </w:r>
    </w:p>
    <w:p w14:paraId="13469641" w14:textId="77777777" w:rsidR="008E032C" w:rsidRDefault="008E032C">
      <w:pPr>
        <w:pStyle w:val="Index1"/>
        <w:tabs>
          <w:tab w:val="right" w:leader="dot" w:pos="5030"/>
        </w:tabs>
        <w:rPr>
          <w:noProof/>
        </w:rPr>
      </w:pPr>
      <w:r w:rsidRPr="00604556">
        <w:rPr>
          <w:rFonts w:cstheme="majorHAnsi"/>
          <w:noProof/>
        </w:rPr>
        <w:t>Dynamics AX 2012 R2</w:t>
      </w:r>
      <w:r>
        <w:rPr>
          <w:noProof/>
        </w:rPr>
        <w:t>, 13</w:t>
      </w:r>
    </w:p>
    <w:p w14:paraId="15FF02F3" w14:textId="77777777" w:rsidR="008E032C" w:rsidRDefault="008E032C">
      <w:pPr>
        <w:pStyle w:val="Index1"/>
        <w:tabs>
          <w:tab w:val="right" w:leader="dot" w:pos="5030"/>
        </w:tabs>
        <w:rPr>
          <w:noProof/>
        </w:rPr>
      </w:pPr>
      <w:r w:rsidRPr="00604556">
        <w:rPr>
          <w:noProof/>
          <w:lang w:val="fr-FR"/>
        </w:rPr>
        <w:t>Dynamics</w:t>
      </w:r>
      <w:r>
        <w:rPr>
          <w:noProof/>
        </w:rPr>
        <w:t xml:space="preserve"> </w:t>
      </w:r>
      <w:r w:rsidRPr="00604556">
        <w:rPr>
          <w:noProof/>
          <w:lang w:val="fr-FR"/>
        </w:rPr>
        <w:t>NAV</w:t>
      </w:r>
      <w:r>
        <w:rPr>
          <w:noProof/>
        </w:rPr>
        <w:t xml:space="preserve"> 2013 </w:t>
      </w:r>
      <w:r w:rsidRPr="00604556">
        <w:rPr>
          <w:noProof/>
          <w:lang w:val="fr-FR"/>
        </w:rPr>
        <w:t>R</w:t>
      </w:r>
      <w:r>
        <w:rPr>
          <w:noProof/>
        </w:rPr>
        <w:t>2, 30</w:t>
      </w:r>
    </w:p>
    <w:p w14:paraId="7320D4C1" w14:textId="77777777" w:rsidR="008E032C" w:rsidRDefault="008E032C">
      <w:pPr>
        <w:pStyle w:val="Index1"/>
        <w:tabs>
          <w:tab w:val="right" w:leader="dot" w:pos="5030"/>
        </w:tabs>
        <w:rPr>
          <w:noProof/>
        </w:rPr>
      </w:pPr>
      <w:r>
        <w:rPr>
          <w:noProof/>
        </w:rPr>
        <w:t>Exchange Server 2016, 20</w:t>
      </w:r>
    </w:p>
    <w:p w14:paraId="4D8EDDF5" w14:textId="77777777" w:rsidR="008E032C" w:rsidRDefault="008E032C">
      <w:pPr>
        <w:pStyle w:val="Index1"/>
        <w:tabs>
          <w:tab w:val="right" w:leader="dot" w:pos="5030"/>
        </w:tabs>
        <w:rPr>
          <w:noProof/>
        </w:rPr>
      </w:pPr>
      <w:r>
        <w:rPr>
          <w:noProof/>
        </w:rPr>
        <w:t>Exchange Server 2019 Basic, 20</w:t>
      </w:r>
    </w:p>
    <w:p w14:paraId="7CE5E4EE" w14:textId="77777777" w:rsidR="008E032C" w:rsidRDefault="008E032C">
      <w:pPr>
        <w:pStyle w:val="Index1"/>
        <w:tabs>
          <w:tab w:val="right" w:leader="dot" w:pos="5030"/>
        </w:tabs>
        <w:rPr>
          <w:noProof/>
        </w:rPr>
      </w:pPr>
      <w:r>
        <w:rPr>
          <w:noProof/>
        </w:rPr>
        <w:t>Exchange Server 2019 Enterprise, 20, 21</w:t>
      </w:r>
    </w:p>
    <w:p w14:paraId="1A8C7201" w14:textId="77777777" w:rsidR="008E032C" w:rsidRDefault="008E032C">
      <w:pPr>
        <w:pStyle w:val="Index1"/>
        <w:tabs>
          <w:tab w:val="right" w:leader="dot" w:pos="5030"/>
        </w:tabs>
        <w:rPr>
          <w:noProof/>
        </w:rPr>
      </w:pPr>
      <w:r>
        <w:rPr>
          <w:noProof/>
        </w:rPr>
        <w:t>Exchange Server 2019 Standard, 20, 21</w:t>
      </w:r>
    </w:p>
    <w:p w14:paraId="18FE4770" w14:textId="77777777" w:rsidR="008E032C" w:rsidRDefault="008E032C">
      <w:pPr>
        <w:pStyle w:val="Index1"/>
        <w:tabs>
          <w:tab w:val="right" w:leader="dot" w:pos="5030"/>
        </w:tabs>
        <w:rPr>
          <w:noProof/>
        </w:rPr>
      </w:pPr>
      <w:r w:rsidRPr="00604556">
        <w:rPr>
          <w:rFonts w:ascii="Calibri Light" w:hAnsi="Calibri Light"/>
          <w:noProof/>
        </w:rPr>
        <w:t>Hosted Exchange Standard SAL</w:t>
      </w:r>
      <w:r>
        <w:rPr>
          <w:noProof/>
        </w:rPr>
        <w:t>, 21, 27</w:t>
      </w:r>
    </w:p>
    <w:p w14:paraId="6E075A91" w14:textId="77777777" w:rsidR="008E032C" w:rsidRDefault="008E032C">
      <w:pPr>
        <w:pStyle w:val="Index1"/>
        <w:tabs>
          <w:tab w:val="right" w:leader="dot" w:pos="5030"/>
        </w:tabs>
        <w:rPr>
          <w:noProof/>
        </w:rPr>
      </w:pPr>
      <w:r>
        <w:rPr>
          <w:noProof/>
        </w:rPr>
        <w:t>Microsoft 365, 24</w:t>
      </w:r>
    </w:p>
    <w:p w14:paraId="2B2A6670" w14:textId="77777777" w:rsidR="008E032C" w:rsidRDefault="008E032C">
      <w:pPr>
        <w:pStyle w:val="Index1"/>
        <w:tabs>
          <w:tab w:val="right" w:leader="dot" w:pos="5030"/>
        </w:tabs>
        <w:rPr>
          <w:noProof/>
        </w:rPr>
      </w:pPr>
      <w:r>
        <w:rPr>
          <w:noProof/>
        </w:rPr>
        <w:t>Microsoft Application Virtualization Hosting для настольных компьютеров, 30</w:t>
      </w:r>
    </w:p>
    <w:p w14:paraId="14A8909C" w14:textId="77777777" w:rsidR="008E032C" w:rsidRDefault="008E032C">
      <w:pPr>
        <w:pStyle w:val="Index1"/>
        <w:tabs>
          <w:tab w:val="right" w:leader="dot" w:pos="5030"/>
        </w:tabs>
        <w:rPr>
          <w:noProof/>
        </w:rPr>
      </w:pPr>
      <w:r w:rsidRPr="00604556">
        <w:rPr>
          <w:rFonts w:cstheme="majorHAnsi"/>
          <w:noProof/>
        </w:rPr>
        <w:t>Microsoft Dynamics AX 2012 R2</w:t>
      </w:r>
      <w:r>
        <w:rPr>
          <w:noProof/>
        </w:rPr>
        <w:t>, 13</w:t>
      </w:r>
    </w:p>
    <w:p w14:paraId="21C073CF" w14:textId="77777777" w:rsidR="008E032C" w:rsidRDefault="008E032C">
      <w:pPr>
        <w:pStyle w:val="Index1"/>
        <w:tabs>
          <w:tab w:val="right" w:leader="dot" w:pos="5030"/>
        </w:tabs>
        <w:rPr>
          <w:noProof/>
        </w:rPr>
      </w:pPr>
      <w:r w:rsidRPr="00604556">
        <w:rPr>
          <w:noProof/>
          <w:lang w:val="fr-FR"/>
        </w:rPr>
        <w:t>Microsoft</w:t>
      </w:r>
      <w:r>
        <w:rPr>
          <w:noProof/>
        </w:rPr>
        <w:t xml:space="preserve"> </w:t>
      </w:r>
      <w:r w:rsidRPr="00604556">
        <w:rPr>
          <w:noProof/>
          <w:lang w:val="fr-FR"/>
        </w:rPr>
        <w:t>Dynamics</w:t>
      </w:r>
      <w:r>
        <w:rPr>
          <w:noProof/>
        </w:rPr>
        <w:t xml:space="preserve"> </w:t>
      </w:r>
      <w:r w:rsidRPr="00604556">
        <w:rPr>
          <w:noProof/>
          <w:lang w:val="fr-FR"/>
        </w:rPr>
        <w:t>AX</w:t>
      </w:r>
      <w:r>
        <w:rPr>
          <w:noProof/>
        </w:rPr>
        <w:t xml:space="preserve"> 2012 </w:t>
      </w:r>
      <w:r w:rsidRPr="00604556">
        <w:rPr>
          <w:noProof/>
          <w:lang w:val="fr-FR"/>
        </w:rPr>
        <w:t>R</w:t>
      </w:r>
      <w:r>
        <w:rPr>
          <w:noProof/>
        </w:rPr>
        <w:t>3, 13, 14</w:t>
      </w:r>
    </w:p>
    <w:p w14:paraId="6F279C72" w14:textId="77777777" w:rsidR="008E032C" w:rsidRDefault="008E032C">
      <w:pPr>
        <w:pStyle w:val="Index1"/>
        <w:tabs>
          <w:tab w:val="right" w:leader="dot" w:pos="5030"/>
        </w:tabs>
        <w:rPr>
          <w:noProof/>
        </w:rPr>
      </w:pPr>
      <w:r>
        <w:rPr>
          <w:noProof/>
        </w:rPr>
        <w:t>Microsoft Dynamics AX 2012 R3 Standard Commerce Server Core, 13</w:t>
      </w:r>
    </w:p>
    <w:p w14:paraId="5DA9AFDB" w14:textId="77777777" w:rsidR="008E032C" w:rsidRDefault="008E032C">
      <w:pPr>
        <w:pStyle w:val="Index1"/>
        <w:tabs>
          <w:tab w:val="right" w:leader="dot" w:pos="5030"/>
        </w:tabs>
        <w:rPr>
          <w:noProof/>
        </w:rPr>
      </w:pPr>
      <w:r>
        <w:rPr>
          <w:noProof/>
        </w:rPr>
        <w:t>Microsoft Dynamics CRM 2016, 15</w:t>
      </w:r>
    </w:p>
    <w:p w14:paraId="51CC5ADF" w14:textId="77777777" w:rsidR="008E032C" w:rsidRDefault="008E032C">
      <w:pPr>
        <w:pStyle w:val="Index1"/>
        <w:tabs>
          <w:tab w:val="right" w:leader="dot" w:pos="5030"/>
        </w:tabs>
        <w:rPr>
          <w:noProof/>
        </w:rPr>
      </w:pPr>
      <w:r>
        <w:rPr>
          <w:noProof/>
        </w:rPr>
        <w:t>Microsoft Dynamics GP 2015 R2, 17</w:t>
      </w:r>
    </w:p>
    <w:p w14:paraId="27C6EF96" w14:textId="77777777" w:rsidR="008E032C" w:rsidRDefault="008E032C">
      <w:pPr>
        <w:pStyle w:val="Index1"/>
        <w:tabs>
          <w:tab w:val="right" w:leader="dot" w:pos="5030"/>
        </w:tabs>
        <w:rPr>
          <w:noProof/>
        </w:rPr>
      </w:pPr>
      <w:r>
        <w:rPr>
          <w:noProof/>
        </w:rPr>
        <w:t>Microsoft Dynamics GP 2016 R2, 17</w:t>
      </w:r>
    </w:p>
    <w:p w14:paraId="15E2076A" w14:textId="77777777" w:rsidR="008E032C" w:rsidRDefault="008E032C">
      <w:pPr>
        <w:pStyle w:val="Index1"/>
        <w:tabs>
          <w:tab w:val="right" w:leader="dot" w:pos="5030"/>
        </w:tabs>
        <w:rPr>
          <w:noProof/>
        </w:rPr>
      </w:pPr>
      <w:r>
        <w:rPr>
          <w:noProof/>
        </w:rPr>
        <w:t>Microsoft Dynamics GP 2018, 17, 18</w:t>
      </w:r>
    </w:p>
    <w:p w14:paraId="1B4330A5" w14:textId="77777777" w:rsidR="008E032C" w:rsidRDefault="008E032C">
      <w:pPr>
        <w:pStyle w:val="Index1"/>
        <w:tabs>
          <w:tab w:val="right" w:leader="dot" w:pos="5030"/>
        </w:tabs>
        <w:rPr>
          <w:noProof/>
        </w:rPr>
      </w:pPr>
      <w:r>
        <w:rPr>
          <w:noProof/>
        </w:rPr>
        <w:t>Microsoft Dynamics NAV 2017, 16</w:t>
      </w:r>
    </w:p>
    <w:p w14:paraId="7BADFA30" w14:textId="77777777" w:rsidR="008E032C" w:rsidRDefault="008E032C">
      <w:pPr>
        <w:pStyle w:val="Index1"/>
        <w:tabs>
          <w:tab w:val="right" w:leader="dot" w:pos="5030"/>
        </w:tabs>
        <w:rPr>
          <w:noProof/>
        </w:rPr>
      </w:pPr>
      <w:r>
        <w:rPr>
          <w:noProof/>
        </w:rPr>
        <w:t>Microsoft Dynamics NAV 2018, 16</w:t>
      </w:r>
    </w:p>
    <w:p w14:paraId="5C63F1E1" w14:textId="77777777" w:rsidR="008E032C" w:rsidRDefault="008E032C">
      <w:pPr>
        <w:pStyle w:val="Index1"/>
        <w:tabs>
          <w:tab w:val="right" w:leader="dot" w:pos="5030"/>
        </w:tabs>
        <w:rPr>
          <w:noProof/>
        </w:rPr>
      </w:pPr>
      <w:r>
        <w:rPr>
          <w:noProof/>
        </w:rPr>
        <w:t>Microsoft Dynamics SL 2015, 18</w:t>
      </w:r>
    </w:p>
    <w:p w14:paraId="01433B0E" w14:textId="77777777" w:rsidR="008E032C" w:rsidRDefault="008E032C">
      <w:pPr>
        <w:pStyle w:val="Index1"/>
        <w:tabs>
          <w:tab w:val="right" w:leader="dot" w:pos="5030"/>
        </w:tabs>
        <w:rPr>
          <w:noProof/>
        </w:rPr>
      </w:pPr>
      <w:r>
        <w:rPr>
          <w:noProof/>
        </w:rPr>
        <w:t>Microsoft Dynamics SL 2018, 18, 19</w:t>
      </w:r>
    </w:p>
    <w:p w14:paraId="0B3D344C" w14:textId="77777777" w:rsidR="008E032C" w:rsidRDefault="008E032C">
      <w:pPr>
        <w:pStyle w:val="Index1"/>
        <w:tabs>
          <w:tab w:val="right" w:leader="dot" w:pos="5030"/>
        </w:tabs>
        <w:rPr>
          <w:noProof/>
        </w:rPr>
      </w:pPr>
      <w:r>
        <w:rPr>
          <w:noProof/>
        </w:rPr>
        <w:t>Microsoft Identity Manager 2016, 33, 34</w:t>
      </w:r>
    </w:p>
    <w:p w14:paraId="460C0188" w14:textId="77777777" w:rsidR="008E032C" w:rsidRDefault="008E032C">
      <w:pPr>
        <w:pStyle w:val="Index1"/>
        <w:tabs>
          <w:tab w:val="right" w:leader="dot" w:pos="5030"/>
        </w:tabs>
        <w:rPr>
          <w:noProof/>
        </w:rPr>
      </w:pPr>
      <w:r>
        <w:rPr>
          <w:noProof/>
        </w:rPr>
        <w:t>Office 2016, 19</w:t>
      </w:r>
    </w:p>
    <w:p w14:paraId="55A38D0B" w14:textId="77777777" w:rsidR="008E032C" w:rsidRDefault="008E032C">
      <w:pPr>
        <w:pStyle w:val="Index1"/>
        <w:tabs>
          <w:tab w:val="right" w:leader="dot" w:pos="5030"/>
        </w:tabs>
        <w:rPr>
          <w:noProof/>
        </w:rPr>
      </w:pPr>
      <w:r>
        <w:rPr>
          <w:noProof/>
        </w:rPr>
        <w:t>Office</w:t>
      </w:r>
      <w:r w:rsidRPr="00604556">
        <w:rPr>
          <w:noProof/>
        </w:rPr>
        <w:t xml:space="preserve"> 365 корпоративный</w:t>
      </w:r>
      <w:r>
        <w:rPr>
          <w:noProof/>
        </w:rPr>
        <w:t>, 24</w:t>
      </w:r>
    </w:p>
    <w:p w14:paraId="7E66BDDA" w14:textId="77777777" w:rsidR="008E032C" w:rsidRDefault="008E032C">
      <w:pPr>
        <w:pStyle w:val="Index1"/>
        <w:tabs>
          <w:tab w:val="right" w:leader="dot" w:pos="5030"/>
        </w:tabs>
        <w:rPr>
          <w:noProof/>
        </w:rPr>
      </w:pPr>
      <w:r>
        <w:rPr>
          <w:noProof/>
        </w:rPr>
        <w:t>Office Online Server, 19</w:t>
      </w:r>
    </w:p>
    <w:p w14:paraId="468E52C0" w14:textId="77777777" w:rsidR="008E032C" w:rsidRDefault="008E032C">
      <w:pPr>
        <w:pStyle w:val="Index1"/>
        <w:tabs>
          <w:tab w:val="right" w:leader="dot" w:pos="5030"/>
        </w:tabs>
        <w:rPr>
          <w:noProof/>
        </w:rPr>
      </w:pPr>
      <w:r>
        <w:rPr>
          <w:noProof/>
        </w:rPr>
        <w:t>Office Профессиональный плюс 2019, 19</w:t>
      </w:r>
    </w:p>
    <w:p w14:paraId="5D0961A5" w14:textId="77777777" w:rsidR="008E032C" w:rsidRDefault="008E032C">
      <w:pPr>
        <w:pStyle w:val="Index1"/>
        <w:tabs>
          <w:tab w:val="right" w:leader="dot" w:pos="5030"/>
        </w:tabs>
        <w:rPr>
          <w:noProof/>
        </w:rPr>
      </w:pPr>
      <w:r>
        <w:rPr>
          <w:noProof/>
        </w:rPr>
        <w:t>Office Стандартный 2019, 19</w:t>
      </w:r>
    </w:p>
    <w:p w14:paraId="4BF3E53C" w14:textId="77777777" w:rsidR="008E032C" w:rsidRDefault="008E032C">
      <w:pPr>
        <w:pStyle w:val="Index1"/>
        <w:tabs>
          <w:tab w:val="right" w:leader="dot" w:pos="5030"/>
        </w:tabs>
        <w:rPr>
          <w:noProof/>
        </w:rPr>
      </w:pPr>
      <w:r w:rsidRPr="00604556">
        <w:rPr>
          <w:rFonts w:ascii="Calibri Light" w:hAnsi="Calibri Light"/>
          <w:noProof/>
        </w:rPr>
        <w:t>Productivity Suite</w:t>
      </w:r>
      <w:r>
        <w:rPr>
          <w:noProof/>
        </w:rPr>
        <w:t>, 21, 22, 24, 27</w:t>
      </w:r>
    </w:p>
    <w:p w14:paraId="66AE1705" w14:textId="77777777" w:rsidR="008E032C" w:rsidRDefault="008E032C">
      <w:pPr>
        <w:pStyle w:val="Index1"/>
        <w:tabs>
          <w:tab w:val="right" w:leader="dot" w:pos="5030"/>
        </w:tabs>
        <w:rPr>
          <w:noProof/>
        </w:rPr>
      </w:pPr>
      <w:r>
        <w:rPr>
          <w:noProof/>
        </w:rPr>
        <w:t>Project 2016, 19</w:t>
      </w:r>
    </w:p>
    <w:p w14:paraId="3FB60E0E" w14:textId="77777777" w:rsidR="008E032C" w:rsidRDefault="008E032C">
      <w:pPr>
        <w:pStyle w:val="Index1"/>
        <w:tabs>
          <w:tab w:val="right" w:leader="dot" w:pos="5030"/>
        </w:tabs>
        <w:rPr>
          <w:noProof/>
        </w:rPr>
      </w:pPr>
      <w:r w:rsidRPr="00604556">
        <w:rPr>
          <w:rFonts w:ascii="Calibri Light" w:hAnsi="Calibri Light" w:cs="Calibri Light"/>
          <w:noProof/>
        </w:rPr>
        <w:t>Project Server 2016</w:t>
      </w:r>
      <w:r>
        <w:rPr>
          <w:noProof/>
        </w:rPr>
        <w:t>, 22</w:t>
      </w:r>
    </w:p>
    <w:p w14:paraId="464616DD" w14:textId="77777777" w:rsidR="008E032C" w:rsidRDefault="008E032C">
      <w:pPr>
        <w:pStyle w:val="Index1"/>
        <w:tabs>
          <w:tab w:val="right" w:leader="dot" w:pos="5030"/>
        </w:tabs>
        <w:rPr>
          <w:noProof/>
        </w:rPr>
      </w:pPr>
      <w:r>
        <w:rPr>
          <w:noProof/>
        </w:rPr>
        <w:t>Project Server 2019, 22</w:t>
      </w:r>
    </w:p>
    <w:p w14:paraId="09E7E5B8" w14:textId="77777777" w:rsidR="008E032C" w:rsidRDefault="008E032C">
      <w:pPr>
        <w:pStyle w:val="Index1"/>
        <w:tabs>
          <w:tab w:val="right" w:leader="dot" w:pos="5030"/>
        </w:tabs>
        <w:rPr>
          <w:noProof/>
        </w:rPr>
      </w:pPr>
      <w:r>
        <w:rPr>
          <w:noProof/>
        </w:rPr>
        <w:t>Project профессиональный 2019, 19, 20, 22</w:t>
      </w:r>
    </w:p>
    <w:p w14:paraId="2064779F" w14:textId="77777777" w:rsidR="008E032C" w:rsidRDefault="008E032C">
      <w:pPr>
        <w:pStyle w:val="Index1"/>
        <w:tabs>
          <w:tab w:val="right" w:leader="dot" w:pos="5030"/>
        </w:tabs>
        <w:rPr>
          <w:noProof/>
        </w:rPr>
      </w:pPr>
      <w:r>
        <w:rPr>
          <w:noProof/>
        </w:rPr>
        <w:t>Project стандартный 2019, 19, 20</w:t>
      </w:r>
    </w:p>
    <w:p w14:paraId="494DD5F1" w14:textId="77777777" w:rsidR="008E032C" w:rsidRDefault="008E032C">
      <w:pPr>
        <w:pStyle w:val="Index1"/>
        <w:tabs>
          <w:tab w:val="right" w:leader="dot" w:pos="5030"/>
        </w:tabs>
        <w:rPr>
          <w:noProof/>
        </w:rPr>
      </w:pPr>
      <w:r w:rsidRPr="00604556">
        <w:rPr>
          <w:rFonts w:ascii="Calibri Light" w:hAnsi="Calibri Light" w:cs="Calibri Light"/>
          <w:noProof/>
        </w:rPr>
        <w:t>SharePoint Server 2016</w:t>
      </w:r>
      <w:r>
        <w:rPr>
          <w:noProof/>
        </w:rPr>
        <w:t>, 22</w:t>
      </w:r>
    </w:p>
    <w:p w14:paraId="4A156DD2" w14:textId="77777777" w:rsidR="008E032C" w:rsidRDefault="008E032C">
      <w:pPr>
        <w:pStyle w:val="Index1"/>
        <w:tabs>
          <w:tab w:val="right" w:leader="dot" w:pos="5030"/>
        </w:tabs>
        <w:rPr>
          <w:noProof/>
        </w:rPr>
      </w:pPr>
      <w:r>
        <w:rPr>
          <w:noProof/>
        </w:rPr>
        <w:t>SharePoint Server 2019 Standard, 22, 27</w:t>
      </w:r>
    </w:p>
    <w:p w14:paraId="3322E104" w14:textId="77777777" w:rsidR="008E032C" w:rsidRDefault="008E032C">
      <w:pPr>
        <w:pStyle w:val="Index1"/>
        <w:tabs>
          <w:tab w:val="right" w:leader="dot" w:pos="5030"/>
        </w:tabs>
        <w:rPr>
          <w:noProof/>
        </w:rPr>
      </w:pPr>
      <w:r>
        <w:rPr>
          <w:noProof/>
        </w:rPr>
        <w:t>SharePoint Server Standard, 23</w:t>
      </w:r>
    </w:p>
    <w:p w14:paraId="5C1F141E" w14:textId="77777777" w:rsidR="008E032C" w:rsidRDefault="008E032C">
      <w:pPr>
        <w:pStyle w:val="Index1"/>
        <w:tabs>
          <w:tab w:val="right" w:leader="dot" w:pos="5030"/>
        </w:tabs>
        <w:rPr>
          <w:noProof/>
        </w:rPr>
      </w:pPr>
      <w:r w:rsidRPr="00604556">
        <w:rPr>
          <w:noProof/>
          <w:lang w:val="fr-FR"/>
        </w:rPr>
        <w:t>Skype</w:t>
      </w:r>
      <w:r>
        <w:rPr>
          <w:noProof/>
        </w:rPr>
        <w:t xml:space="preserve"> для бизнеса 2019 </w:t>
      </w:r>
      <w:r w:rsidRPr="00604556">
        <w:rPr>
          <w:noProof/>
          <w:lang w:val="fr-FR"/>
        </w:rPr>
        <w:t>Enterprise</w:t>
      </w:r>
      <w:r>
        <w:rPr>
          <w:noProof/>
        </w:rPr>
        <w:t xml:space="preserve"> </w:t>
      </w:r>
      <w:r w:rsidRPr="00604556">
        <w:rPr>
          <w:noProof/>
          <w:lang w:val="fr-FR"/>
        </w:rPr>
        <w:t>Plus</w:t>
      </w:r>
      <w:r>
        <w:rPr>
          <w:noProof/>
        </w:rPr>
        <w:t>, 23</w:t>
      </w:r>
    </w:p>
    <w:p w14:paraId="2F53AF8C" w14:textId="77777777" w:rsidR="008E032C" w:rsidRDefault="008E032C">
      <w:pPr>
        <w:pStyle w:val="Index1"/>
        <w:tabs>
          <w:tab w:val="right" w:leader="dot" w:pos="5030"/>
        </w:tabs>
        <w:rPr>
          <w:noProof/>
        </w:rPr>
      </w:pPr>
      <w:r>
        <w:rPr>
          <w:noProof/>
        </w:rPr>
        <w:t>Skype для бизнеса Server 2015, 23</w:t>
      </w:r>
    </w:p>
    <w:p w14:paraId="38824FDF" w14:textId="77777777" w:rsidR="008E032C" w:rsidRDefault="008E032C">
      <w:pPr>
        <w:pStyle w:val="Index1"/>
        <w:tabs>
          <w:tab w:val="right" w:leader="dot" w:pos="5030"/>
        </w:tabs>
        <w:rPr>
          <w:noProof/>
        </w:rPr>
      </w:pPr>
      <w:r>
        <w:rPr>
          <w:noProof/>
        </w:rPr>
        <w:t>Skype для бизнеса Server 2019 Enterprise, 23, 24</w:t>
      </w:r>
    </w:p>
    <w:p w14:paraId="7A3EF8D2" w14:textId="77777777" w:rsidR="008E032C" w:rsidRDefault="008E032C">
      <w:pPr>
        <w:pStyle w:val="Index1"/>
        <w:tabs>
          <w:tab w:val="right" w:leader="dot" w:pos="5030"/>
        </w:tabs>
        <w:rPr>
          <w:noProof/>
        </w:rPr>
      </w:pPr>
      <w:r>
        <w:rPr>
          <w:noProof/>
        </w:rPr>
        <w:t>Skype для бизнеса Server 2019 Plus, 23, 24</w:t>
      </w:r>
    </w:p>
    <w:p w14:paraId="5CDC962F" w14:textId="77777777" w:rsidR="008E032C" w:rsidRDefault="008E032C">
      <w:pPr>
        <w:pStyle w:val="Index1"/>
        <w:tabs>
          <w:tab w:val="right" w:leader="dot" w:pos="5030"/>
        </w:tabs>
        <w:rPr>
          <w:noProof/>
        </w:rPr>
      </w:pPr>
      <w:r>
        <w:rPr>
          <w:noProof/>
        </w:rPr>
        <w:t>Skype для бизнеса Server 2019 Standard, 23, 24, 27</w:t>
      </w:r>
    </w:p>
    <w:p w14:paraId="157A79B2" w14:textId="77777777" w:rsidR="008E032C" w:rsidRDefault="008E032C">
      <w:pPr>
        <w:pStyle w:val="Index1"/>
        <w:tabs>
          <w:tab w:val="right" w:leader="dot" w:pos="5030"/>
        </w:tabs>
        <w:rPr>
          <w:noProof/>
        </w:rPr>
      </w:pPr>
      <w:r>
        <w:rPr>
          <w:noProof/>
        </w:rPr>
        <w:t>SQL Server 2012, 25, 26, 27</w:t>
      </w:r>
    </w:p>
    <w:p w14:paraId="169B555E" w14:textId="77777777" w:rsidR="008E032C" w:rsidRDefault="008E032C">
      <w:pPr>
        <w:pStyle w:val="Index1"/>
        <w:tabs>
          <w:tab w:val="right" w:leader="dot" w:pos="5030"/>
        </w:tabs>
        <w:rPr>
          <w:noProof/>
        </w:rPr>
      </w:pPr>
      <w:r>
        <w:rPr>
          <w:noProof/>
        </w:rPr>
        <w:t>SQL Server 2017, 25</w:t>
      </w:r>
    </w:p>
    <w:p w14:paraId="6026B75C" w14:textId="77777777" w:rsidR="008E032C" w:rsidRDefault="008E032C">
      <w:pPr>
        <w:pStyle w:val="Index1"/>
        <w:tabs>
          <w:tab w:val="right" w:leader="dot" w:pos="5030"/>
        </w:tabs>
        <w:rPr>
          <w:noProof/>
        </w:rPr>
      </w:pPr>
      <w:r>
        <w:rPr>
          <w:noProof/>
        </w:rPr>
        <w:t>SQL Server 2019 Enterprise Core, 25</w:t>
      </w:r>
    </w:p>
    <w:p w14:paraId="485537D0" w14:textId="77777777" w:rsidR="008E032C" w:rsidRDefault="008E032C">
      <w:pPr>
        <w:pStyle w:val="Index1"/>
        <w:tabs>
          <w:tab w:val="right" w:leader="dot" w:pos="5030"/>
        </w:tabs>
        <w:rPr>
          <w:noProof/>
        </w:rPr>
      </w:pPr>
      <w:r>
        <w:rPr>
          <w:noProof/>
        </w:rPr>
        <w:t>SQL Server 2019 Standard, 25</w:t>
      </w:r>
    </w:p>
    <w:p w14:paraId="084AF5EA" w14:textId="77777777" w:rsidR="008E032C" w:rsidRDefault="008E032C">
      <w:pPr>
        <w:pStyle w:val="Index1"/>
        <w:tabs>
          <w:tab w:val="right" w:leader="dot" w:pos="5030"/>
        </w:tabs>
        <w:rPr>
          <w:noProof/>
        </w:rPr>
      </w:pPr>
      <w:r>
        <w:rPr>
          <w:noProof/>
        </w:rPr>
        <w:t>SQL Server 2019 Standard Core, 25</w:t>
      </w:r>
    </w:p>
    <w:p w14:paraId="3EC8D332" w14:textId="77777777" w:rsidR="008E032C" w:rsidRDefault="008E032C">
      <w:pPr>
        <w:pStyle w:val="Index1"/>
        <w:tabs>
          <w:tab w:val="right" w:leader="dot" w:pos="5030"/>
        </w:tabs>
        <w:rPr>
          <w:noProof/>
        </w:rPr>
      </w:pPr>
      <w:r>
        <w:rPr>
          <w:noProof/>
        </w:rPr>
        <w:t>SQL Server 2019 Web Core, 25</w:t>
      </w:r>
    </w:p>
    <w:p w14:paraId="395B000E" w14:textId="77777777" w:rsidR="008E032C" w:rsidRDefault="008E032C">
      <w:pPr>
        <w:pStyle w:val="Index1"/>
        <w:tabs>
          <w:tab w:val="right" w:leader="dot" w:pos="5030"/>
        </w:tabs>
        <w:rPr>
          <w:noProof/>
        </w:rPr>
      </w:pPr>
      <w:r>
        <w:rPr>
          <w:noProof/>
        </w:rPr>
        <w:t>System Center 2012 R2, 26, 27</w:t>
      </w:r>
    </w:p>
    <w:p w14:paraId="731DD939" w14:textId="77777777" w:rsidR="008E032C" w:rsidRDefault="008E032C">
      <w:pPr>
        <w:pStyle w:val="Index1"/>
        <w:tabs>
          <w:tab w:val="right" w:leader="dot" w:pos="5030"/>
        </w:tabs>
        <w:rPr>
          <w:noProof/>
        </w:rPr>
      </w:pPr>
      <w:r>
        <w:rPr>
          <w:noProof/>
        </w:rPr>
        <w:t>System Center 2016, 28</w:t>
      </w:r>
    </w:p>
    <w:p w14:paraId="5B234C20" w14:textId="77777777" w:rsidR="008E032C" w:rsidRDefault="008E032C">
      <w:pPr>
        <w:pStyle w:val="Index1"/>
        <w:tabs>
          <w:tab w:val="right" w:leader="dot" w:pos="5030"/>
        </w:tabs>
        <w:rPr>
          <w:noProof/>
        </w:rPr>
      </w:pPr>
      <w:r>
        <w:rPr>
          <w:noProof/>
        </w:rPr>
        <w:t>System Center 2019 Data Protection Manager, 28</w:t>
      </w:r>
    </w:p>
    <w:p w14:paraId="742C6188" w14:textId="77777777" w:rsidR="008E032C" w:rsidRDefault="008E032C">
      <w:pPr>
        <w:pStyle w:val="Index1"/>
        <w:tabs>
          <w:tab w:val="right" w:leader="dot" w:pos="5030"/>
        </w:tabs>
        <w:rPr>
          <w:noProof/>
        </w:rPr>
      </w:pPr>
      <w:r>
        <w:rPr>
          <w:noProof/>
        </w:rPr>
        <w:t>System Center 2019 Datacenter, 28</w:t>
      </w:r>
    </w:p>
    <w:p w14:paraId="65A68C8D" w14:textId="77777777" w:rsidR="008E032C" w:rsidRDefault="008E032C">
      <w:pPr>
        <w:pStyle w:val="Index1"/>
        <w:tabs>
          <w:tab w:val="right" w:leader="dot" w:pos="5030"/>
        </w:tabs>
        <w:rPr>
          <w:noProof/>
        </w:rPr>
      </w:pPr>
      <w:r>
        <w:rPr>
          <w:noProof/>
        </w:rPr>
        <w:t>System Center 2019 Operations Manager, 29</w:t>
      </w:r>
    </w:p>
    <w:p w14:paraId="416AD7A9" w14:textId="77777777" w:rsidR="008E032C" w:rsidRDefault="008E032C">
      <w:pPr>
        <w:pStyle w:val="Index1"/>
        <w:tabs>
          <w:tab w:val="right" w:leader="dot" w:pos="5030"/>
        </w:tabs>
        <w:rPr>
          <w:noProof/>
        </w:rPr>
      </w:pPr>
      <w:r>
        <w:rPr>
          <w:noProof/>
        </w:rPr>
        <w:t>System Center 2019 Orchestrator, 28, 29</w:t>
      </w:r>
    </w:p>
    <w:p w14:paraId="3AE05173" w14:textId="77777777" w:rsidR="008E032C" w:rsidRDefault="008E032C">
      <w:pPr>
        <w:pStyle w:val="Index1"/>
        <w:tabs>
          <w:tab w:val="right" w:leader="dot" w:pos="5030"/>
        </w:tabs>
        <w:rPr>
          <w:noProof/>
        </w:rPr>
      </w:pPr>
      <w:r>
        <w:rPr>
          <w:noProof/>
        </w:rPr>
        <w:t>System Center 2019 Service Manager, 28, 29</w:t>
      </w:r>
    </w:p>
    <w:p w14:paraId="4AA18790" w14:textId="77777777" w:rsidR="008E032C" w:rsidRDefault="008E032C">
      <w:pPr>
        <w:pStyle w:val="Index1"/>
        <w:tabs>
          <w:tab w:val="right" w:leader="dot" w:pos="5030"/>
        </w:tabs>
        <w:rPr>
          <w:noProof/>
        </w:rPr>
      </w:pPr>
      <w:r w:rsidRPr="00604556">
        <w:rPr>
          <w:noProof/>
          <w:lang w:val="sv-SE"/>
        </w:rPr>
        <w:t>System Center 2019 Standard</w:t>
      </w:r>
      <w:r>
        <w:rPr>
          <w:noProof/>
        </w:rPr>
        <w:t>, 28</w:t>
      </w:r>
    </w:p>
    <w:p w14:paraId="31DA7089" w14:textId="77777777" w:rsidR="008E032C" w:rsidRDefault="008E032C">
      <w:pPr>
        <w:pStyle w:val="Index1"/>
        <w:tabs>
          <w:tab w:val="right" w:leader="dot" w:pos="5030"/>
        </w:tabs>
        <w:rPr>
          <w:noProof/>
        </w:rPr>
      </w:pPr>
      <w:r>
        <w:rPr>
          <w:noProof/>
        </w:rPr>
        <w:t>System Center Configuration Manager 1606, 28</w:t>
      </w:r>
    </w:p>
    <w:p w14:paraId="241C0DB7" w14:textId="77777777" w:rsidR="008E032C" w:rsidRDefault="008E032C">
      <w:pPr>
        <w:pStyle w:val="Index1"/>
        <w:tabs>
          <w:tab w:val="right" w:leader="dot" w:pos="5030"/>
        </w:tabs>
        <w:rPr>
          <w:noProof/>
        </w:rPr>
      </w:pPr>
      <w:r>
        <w:rPr>
          <w:noProof/>
        </w:rPr>
        <w:t>System Center Datacenter, 13</w:t>
      </w:r>
    </w:p>
    <w:p w14:paraId="6346E611" w14:textId="77777777" w:rsidR="008E032C" w:rsidRDefault="008E032C">
      <w:pPr>
        <w:pStyle w:val="Index1"/>
        <w:tabs>
          <w:tab w:val="right" w:leader="dot" w:pos="5030"/>
        </w:tabs>
        <w:rPr>
          <w:noProof/>
        </w:rPr>
      </w:pPr>
      <w:r>
        <w:rPr>
          <w:noProof/>
        </w:rPr>
        <w:t>System Center Endpoint Protection, 28, 29</w:t>
      </w:r>
    </w:p>
    <w:p w14:paraId="31F50A0B" w14:textId="77777777" w:rsidR="008E032C" w:rsidRDefault="008E032C">
      <w:pPr>
        <w:pStyle w:val="Index1"/>
        <w:tabs>
          <w:tab w:val="right" w:leader="dot" w:pos="5030"/>
        </w:tabs>
        <w:rPr>
          <w:noProof/>
        </w:rPr>
      </w:pPr>
      <w:r>
        <w:rPr>
          <w:noProof/>
        </w:rPr>
        <w:t>System Center Endpoint Protection 1606, 28, 29</w:t>
      </w:r>
    </w:p>
    <w:p w14:paraId="208F291B" w14:textId="77777777" w:rsidR="008E032C" w:rsidRDefault="008E032C">
      <w:pPr>
        <w:pStyle w:val="Index1"/>
        <w:tabs>
          <w:tab w:val="right" w:leader="dot" w:pos="5030"/>
        </w:tabs>
        <w:rPr>
          <w:noProof/>
        </w:rPr>
      </w:pPr>
      <w:r>
        <w:rPr>
          <w:noProof/>
        </w:rPr>
        <w:t>System Center Operations Manager, 28</w:t>
      </w:r>
    </w:p>
    <w:p w14:paraId="2F28B3DF" w14:textId="77777777" w:rsidR="008E032C" w:rsidRDefault="008E032C">
      <w:pPr>
        <w:pStyle w:val="Index1"/>
        <w:tabs>
          <w:tab w:val="right" w:leader="dot" w:pos="5030"/>
        </w:tabs>
        <w:rPr>
          <w:noProof/>
        </w:rPr>
      </w:pPr>
      <w:r>
        <w:rPr>
          <w:noProof/>
        </w:rPr>
        <w:t>System Center Standard, 12</w:t>
      </w:r>
    </w:p>
    <w:p w14:paraId="47893B4B" w14:textId="77777777" w:rsidR="008E032C" w:rsidRDefault="008E032C">
      <w:pPr>
        <w:pStyle w:val="Index1"/>
        <w:tabs>
          <w:tab w:val="right" w:leader="dot" w:pos="5030"/>
        </w:tabs>
        <w:rPr>
          <w:noProof/>
        </w:rPr>
      </w:pPr>
      <w:r>
        <w:rPr>
          <w:noProof/>
        </w:rPr>
        <w:t>Visio 2016, 20</w:t>
      </w:r>
    </w:p>
    <w:p w14:paraId="76B47872" w14:textId="77777777" w:rsidR="008E032C" w:rsidRDefault="008E032C">
      <w:pPr>
        <w:pStyle w:val="Index1"/>
        <w:tabs>
          <w:tab w:val="right" w:leader="dot" w:pos="5030"/>
        </w:tabs>
        <w:rPr>
          <w:noProof/>
        </w:rPr>
      </w:pPr>
      <w:r>
        <w:rPr>
          <w:noProof/>
        </w:rPr>
        <w:t>Visio 2019 стандартный, 20</w:t>
      </w:r>
    </w:p>
    <w:p w14:paraId="047DA335" w14:textId="77777777" w:rsidR="008E032C" w:rsidRDefault="008E032C">
      <w:pPr>
        <w:pStyle w:val="Index1"/>
        <w:tabs>
          <w:tab w:val="right" w:leader="dot" w:pos="5030"/>
        </w:tabs>
        <w:rPr>
          <w:noProof/>
        </w:rPr>
      </w:pPr>
      <w:r>
        <w:rPr>
          <w:noProof/>
        </w:rPr>
        <w:t>Visio профессиональный 2019, 20</w:t>
      </w:r>
    </w:p>
    <w:p w14:paraId="62EACA0B" w14:textId="77777777" w:rsidR="008E032C" w:rsidRDefault="008E032C">
      <w:pPr>
        <w:pStyle w:val="Index1"/>
        <w:tabs>
          <w:tab w:val="right" w:leader="dot" w:pos="5030"/>
        </w:tabs>
        <w:rPr>
          <w:noProof/>
        </w:rPr>
      </w:pPr>
      <w:r w:rsidRPr="00604556">
        <w:rPr>
          <w:rFonts w:ascii="Calibri Light" w:hAnsi="Calibri Light" w:cs="Calibri Light"/>
          <w:noProof/>
        </w:rPr>
        <w:t>Visual Studio 2017</w:t>
      </w:r>
      <w:r>
        <w:rPr>
          <w:noProof/>
        </w:rPr>
        <w:t>, 31</w:t>
      </w:r>
    </w:p>
    <w:p w14:paraId="64560520" w14:textId="77777777" w:rsidR="008E032C" w:rsidRDefault="008E032C">
      <w:pPr>
        <w:pStyle w:val="Index1"/>
        <w:tabs>
          <w:tab w:val="right" w:leader="dot" w:pos="5030"/>
        </w:tabs>
        <w:rPr>
          <w:noProof/>
        </w:rPr>
      </w:pPr>
      <w:r w:rsidRPr="00604556">
        <w:rPr>
          <w:noProof/>
          <w:lang w:val="pt-BR"/>
        </w:rPr>
        <w:t>Visual</w:t>
      </w:r>
      <w:r>
        <w:rPr>
          <w:noProof/>
        </w:rPr>
        <w:t xml:space="preserve"> </w:t>
      </w:r>
      <w:r w:rsidRPr="00604556">
        <w:rPr>
          <w:noProof/>
          <w:lang w:val="pt-BR"/>
        </w:rPr>
        <w:t>Studio</w:t>
      </w:r>
      <w:r>
        <w:rPr>
          <w:noProof/>
        </w:rPr>
        <w:t xml:space="preserve"> </w:t>
      </w:r>
      <w:r w:rsidRPr="00604556">
        <w:rPr>
          <w:noProof/>
          <w:lang w:val="pt-BR"/>
        </w:rPr>
        <w:t>Enterprise</w:t>
      </w:r>
      <w:r>
        <w:rPr>
          <w:noProof/>
        </w:rPr>
        <w:t xml:space="preserve"> 2019, 31</w:t>
      </w:r>
    </w:p>
    <w:p w14:paraId="530F8380" w14:textId="77777777" w:rsidR="008E032C" w:rsidRDefault="008E032C">
      <w:pPr>
        <w:pStyle w:val="Index1"/>
        <w:tabs>
          <w:tab w:val="right" w:leader="dot" w:pos="5030"/>
        </w:tabs>
        <w:rPr>
          <w:noProof/>
        </w:rPr>
      </w:pPr>
      <w:r w:rsidRPr="00604556">
        <w:rPr>
          <w:noProof/>
          <w:lang w:val="pt-BR"/>
        </w:rPr>
        <w:t>Visual</w:t>
      </w:r>
      <w:r>
        <w:rPr>
          <w:noProof/>
        </w:rPr>
        <w:t xml:space="preserve"> </w:t>
      </w:r>
      <w:r w:rsidRPr="00604556">
        <w:rPr>
          <w:noProof/>
          <w:lang w:val="pt-BR"/>
        </w:rPr>
        <w:t>Studio</w:t>
      </w:r>
      <w:r>
        <w:rPr>
          <w:noProof/>
        </w:rPr>
        <w:t xml:space="preserve"> </w:t>
      </w:r>
      <w:r w:rsidRPr="00604556">
        <w:rPr>
          <w:noProof/>
          <w:lang w:val="pt-BR"/>
        </w:rPr>
        <w:t>Professional</w:t>
      </w:r>
      <w:r>
        <w:rPr>
          <w:noProof/>
        </w:rPr>
        <w:t xml:space="preserve"> 2019, 31</w:t>
      </w:r>
    </w:p>
    <w:p w14:paraId="1534AE67" w14:textId="77777777" w:rsidR="008E032C" w:rsidRDefault="008E032C">
      <w:pPr>
        <w:pStyle w:val="Index1"/>
        <w:tabs>
          <w:tab w:val="right" w:leader="dot" w:pos="5030"/>
        </w:tabs>
        <w:rPr>
          <w:noProof/>
        </w:rPr>
      </w:pPr>
      <w:r>
        <w:rPr>
          <w:noProof/>
        </w:rPr>
        <w:t>Visual Studio Test Professional 2019, 31</w:t>
      </w:r>
    </w:p>
    <w:p w14:paraId="21136449" w14:textId="77777777" w:rsidR="008E032C" w:rsidRDefault="008E032C">
      <w:pPr>
        <w:pStyle w:val="Index1"/>
        <w:tabs>
          <w:tab w:val="right" w:leader="dot" w:pos="5030"/>
        </w:tabs>
        <w:rPr>
          <w:noProof/>
        </w:rPr>
      </w:pPr>
      <w:r>
        <w:rPr>
          <w:noProof/>
        </w:rPr>
        <w:t>Windows Server 2012, R2-версия, 26, 27</w:t>
      </w:r>
    </w:p>
    <w:p w14:paraId="7FFB0734" w14:textId="77777777" w:rsidR="008E032C" w:rsidRDefault="008E032C">
      <w:pPr>
        <w:pStyle w:val="Index1"/>
        <w:tabs>
          <w:tab w:val="right" w:leader="dot" w:pos="5030"/>
        </w:tabs>
        <w:rPr>
          <w:noProof/>
        </w:rPr>
      </w:pPr>
      <w:r>
        <w:rPr>
          <w:noProof/>
        </w:rPr>
        <w:t>Windows Server 2016, 33</w:t>
      </w:r>
    </w:p>
    <w:p w14:paraId="5C50490E" w14:textId="77777777" w:rsidR="008E032C" w:rsidRDefault="008E032C">
      <w:pPr>
        <w:pStyle w:val="Index1"/>
        <w:tabs>
          <w:tab w:val="right" w:leader="dot" w:pos="5030"/>
        </w:tabs>
        <w:rPr>
          <w:noProof/>
        </w:rPr>
      </w:pPr>
      <w:r>
        <w:rPr>
          <w:noProof/>
        </w:rPr>
        <w:t>Windows Server 2019 Active Directory Rights Management, 33, 34</w:t>
      </w:r>
    </w:p>
    <w:p w14:paraId="0F0F7EF9" w14:textId="77777777" w:rsidR="008E032C" w:rsidRDefault="008E032C">
      <w:pPr>
        <w:pStyle w:val="Index1"/>
        <w:tabs>
          <w:tab w:val="right" w:leader="dot" w:pos="5030"/>
        </w:tabs>
        <w:rPr>
          <w:noProof/>
        </w:rPr>
      </w:pPr>
      <w:r>
        <w:rPr>
          <w:noProof/>
        </w:rPr>
        <w:t>Windows Server 2019 Datacenter, 33</w:t>
      </w:r>
    </w:p>
    <w:p w14:paraId="6086C49C" w14:textId="77777777" w:rsidR="008E032C" w:rsidRDefault="008E032C">
      <w:pPr>
        <w:pStyle w:val="Index1"/>
        <w:tabs>
          <w:tab w:val="right" w:leader="dot" w:pos="5030"/>
        </w:tabs>
        <w:rPr>
          <w:noProof/>
        </w:rPr>
      </w:pPr>
      <w:r>
        <w:rPr>
          <w:noProof/>
        </w:rPr>
        <w:t>Windows Server 2019 Essentials, 33</w:t>
      </w:r>
    </w:p>
    <w:p w14:paraId="2D3190AE" w14:textId="77777777" w:rsidR="008E032C" w:rsidRDefault="008E032C">
      <w:pPr>
        <w:pStyle w:val="Index1"/>
        <w:tabs>
          <w:tab w:val="right" w:leader="dot" w:pos="5030"/>
        </w:tabs>
        <w:rPr>
          <w:noProof/>
        </w:rPr>
      </w:pPr>
      <w:r>
        <w:rPr>
          <w:noProof/>
        </w:rPr>
        <w:t>Windows Server 2019 Standard, 33</w:t>
      </w:r>
    </w:p>
    <w:p w14:paraId="61882E4A" w14:textId="77777777" w:rsidR="008E032C" w:rsidRDefault="008E032C">
      <w:pPr>
        <w:pStyle w:val="Index1"/>
        <w:tabs>
          <w:tab w:val="right" w:leader="dot" w:pos="5030"/>
        </w:tabs>
        <w:rPr>
          <w:noProof/>
        </w:rPr>
      </w:pPr>
      <w:r>
        <w:rPr>
          <w:noProof/>
        </w:rPr>
        <w:t>Windows Server Datacenter, 13, 26</w:t>
      </w:r>
    </w:p>
    <w:p w14:paraId="4064A6DF" w14:textId="77777777" w:rsidR="008E032C" w:rsidRDefault="008E032C">
      <w:pPr>
        <w:pStyle w:val="Index1"/>
        <w:tabs>
          <w:tab w:val="right" w:leader="dot" w:pos="5030"/>
        </w:tabs>
        <w:rPr>
          <w:noProof/>
        </w:rPr>
      </w:pPr>
      <w:r>
        <w:rPr>
          <w:noProof/>
        </w:rPr>
        <w:t>Windows Server Standard, 12, 26</w:t>
      </w:r>
    </w:p>
    <w:p w14:paraId="7062989E" w14:textId="77777777" w:rsidR="008E032C" w:rsidRDefault="008E032C">
      <w:pPr>
        <w:pStyle w:val="Index1"/>
        <w:tabs>
          <w:tab w:val="right" w:leader="dot" w:pos="5030"/>
        </w:tabs>
        <w:rPr>
          <w:noProof/>
        </w:rPr>
      </w:pPr>
      <w:r>
        <w:rPr>
          <w:noProof/>
        </w:rPr>
        <w:t>Гость облачной платформы, 26, 27</w:t>
      </w:r>
    </w:p>
    <w:p w14:paraId="1185DCEA" w14:textId="77777777" w:rsidR="008E032C" w:rsidRDefault="008E032C">
      <w:pPr>
        <w:pStyle w:val="Index1"/>
        <w:tabs>
          <w:tab w:val="right" w:leader="dot" w:pos="5030"/>
        </w:tabs>
        <w:rPr>
          <w:noProof/>
        </w:rPr>
      </w:pPr>
      <w:r>
        <w:rPr>
          <w:noProof/>
        </w:rPr>
        <w:t>Лицензии Enterprise CAL, 21, 23, 27</w:t>
      </w:r>
    </w:p>
    <w:p w14:paraId="5778A5B1" w14:textId="77777777" w:rsidR="008E032C" w:rsidRDefault="008E032C">
      <w:pPr>
        <w:pStyle w:val="Index1"/>
        <w:tabs>
          <w:tab w:val="right" w:leader="dot" w:pos="5030"/>
        </w:tabs>
        <w:rPr>
          <w:noProof/>
        </w:rPr>
      </w:pPr>
      <w:r w:rsidRPr="00604556">
        <w:rPr>
          <w:noProof/>
        </w:rPr>
        <w:t xml:space="preserve">Лицензия </w:t>
      </w:r>
      <w:r>
        <w:rPr>
          <w:noProof/>
        </w:rPr>
        <w:t>CAL</w:t>
      </w:r>
      <w:r w:rsidRPr="00604556">
        <w:rPr>
          <w:noProof/>
        </w:rPr>
        <w:t xml:space="preserve"> на </w:t>
      </w:r>
      <w:r>
        <w:rPr>
          <w:noProof/>
        </w:rPr>
        <w:t>Skype</w:t>
      </w:r>
      <w:r w:rsidRPr="00604556">
        <w:rPr>
          <w:noProof/>
        </w:rPr>
        <w:t xml:space="preserve"> для бизнеса </w:t>
      </w:r>
      <w:r>
        <w:rPr>
          <w:noProof/>
        </w:rPr>
        <w:t>Server</w:t>
      </w:r>
      <w:r w:rsidRPr="00604556">
        <w:rPr>
          <w:noProof/>
        </w:rPr>
        <w:t xml:space="preserve"> 2019 </w:t>
      </w:r>
      <w:r>
        <w:rPr>
          <w:noProof/>
        </w:rPr>
        <w:t>Enterprise, 24</w:t>
      </w:r>
    </w:p>
    <w:p w14:paraId="4A796957" w14:textId="77777777" w:rsidR="008E032C" w:rsidRDefault="008E032C">
      <w:pPr>
        <w:pStyle w:val="Index1"/>
        <w:tabs>
          <w:tab w:val="right" w:leader="dot" w:pos="5030"/>
        </w:tabs>
        <w:rPr>
          <w:noProof/>
        </w:rPr>
      </w:pPr>
      <w:r w:rsidRPr="00604556">
        <w:rPr>
          <w:noProof/>
        </w:rPr>
        <w:t xml:space="preserve">Лицензия </w:t>
      </w:r>
      <w:r>
        <w:rPr>
          <w:noProof/>
        </w:rPr>
        <w:t>CAL</w:t>
      </w:r>
      <w:r w:rsidRPr="00604556">
        <w:rPr>
          <w:noProof/>
        </w:rPr>
        <w:t xml:space="preserve"> на </w:t>
      </w:r>
      <w:r>
        <w:rPr>
          <w:noProof/>
        </w:rPr>
        <w:t>Skype</w:t>
      </w:r>
      <w:r w:rsidRPr="00604556">
        <w:rPr>
          <w:noProof/>
        </w:rPr>
        <w:t xml:space="preserve"> для бизнеса </w:t>
      </w:r>
      <w:r>
        <w:rPr>
          <w:noProof/>
        </w:rPr>
        <w:t>Server</w:t>
      </w:r>
      <w:r w:rsidRPr="00604556">
        <w:rPr>
          <w:noProof/>
        </w:rPr>
        <w:t xml:space="preserve"> 2019 </w:t>
      </w:r>
      <w:r>
        <w:rPr>
          <w:noProof/>
        </w:rPr>
        <w:t>Plus, 24</w:t>
      </w:r>
    </w:p>
    <w:p w14:paraId="2ECB19FB" w14:textId="77777777" w:rsidR="008E032C" w:rsidRDefault="008E032C">
      <w:pPr>
        <w:pStyle w:val="Index1"/>
        <w:tabs>
          <w:tab w:val="right" w:leader="dot" w:pos="5030"/>
        </w:tabs>
        <w:rPr>
          <w:noProof/>
        </w:rPr>
      </w:pPr>
      <w:r w:rsidRPr="00604556">
        <w:rPr>
          <w:noProof/>
        </w:rPr>
        <w:t xml:space="preserve">Лицензия </w:t>
      </w:r>
      <w:r>
        <w:rPr>
          <w:noProof/>
        </w:rPr>
        <w:t>CAL</w:t>
      </w:r>
      <w:r w:rsidRPr="00604556">
        <w:rPr>
          <w:noProof/>
        </w:rPr>
        <w:t xml:space="preserve"> на </w:t>
      </w:r>
      <w:r>
        <w:rPr>
          <w:noProof/>
        </w:rPr>
        <w:t>Skype</w:t>
      </w:r>
      <w:r w:rsidRPr="00604556">
        <w:rPr>
          <w:noProof/>
        </w:rPr>
        <w:t xml:space="preserve"> для бизнеса </w:t>
      </w:r>
      <w:r>
        <w:rPr>
          <w:noProof/>
        </w:rPr>
        <w:t>Server</w:t>
      </w:r>
      <w:r w:rsidRPr="00604556">
        <w:rPr>
          <w:noProof/>
        </w:rPr>
        <w:t xml:space="preserve"> 2019 </w:t>
      </w:r>
      <w:r>
        <w:rPr>
          <w:noProof/>
        </w:rPr>
        <w:t>Standard, 24</w:t>
      </w:r>
    </w:p>
    <w:p w14:paraId="40B070D3" w14:textId="77777777" w:rsidR="008E032C" w:rsidRDefault="008E032C">
      <w:pPr>
        <w:pStyle w:val="Index1"/>
        <w:tabs>
          <w:tab w:val="right" w:leader="dot" w:pos="5030"/>
        </w:tabs>
        <w:rPr>
          <w:noProof/>
        </w:rPr>
      </w:pPr>
      <w:r>
        <w:rPr>
          <w:noProof/>
        </w:rPr>
        <w:t>Лицензия Core CAL, 21, 23, 24, 27</w:t>
      </w:r>
    </w:p>
    <w:p w14:paraId="4BE522CC" w14:textId="77777777" w:rsidR="008E032C" w:rsidRDefault="008E032C">
      <w:pPr>
        <w:pStyle w:val="Index1"/>
        <w:tabs>
          <w:tab w:val="right" w:leader="dot" w:pos="5030"/>
        </w:tabs>
        <w:rPr>
          <w:noProof/>
        </w:rPr>
      </w:pPr>
      <w:r>
        <w:rPr>
          <w:noProof/>
        </w:rPr>
        <w:t>Лицензия Enterprise CAL, 24</w:t>
      </w:r>
    </w:p>
    <w:p w14:paraId="3074C546" w14:textId="77777777" w:rsidR="008E032C" w:rsidRDefault="008E032C">
      <w:pPr>
        <w:pStyle w:val="Index1"/>
        <w:tabs>
          <w:tab w:val="right" w:leader="dot" w:pos="5030"/>
        </w:tabs>
        <w:rPr>
          <w:noProof/>
        </w:rPr>
      </w:pPr>
      <w:r>
        <w:rPr>
          <w:noProof/>
        </w:rPr>
        <w:t>Операционная система для настольных компьютеров Windows, 33</w:t>
      </w:r>
    </w:p>
    <w:p w14:paraId="0AC0EE1E" w14:textId="77777777" w:rsidR="008E032C" w:rsidRDefault="008E032C">
      <w:pPr>
        <w:pStyle w:val="Index1"/>
        <w:tabs>
          <w:tab w:val="right" w:leader="dot" w:pos="5030"/>
        </w:tabs>
        <w:rPr>
          <w:noProof/>
        </w:rPr>
      </w:pPr>
      <w:r>
        <w:rPr>
          <w:noProof/>
        </w:rPr>
        <w:t>Пакет Windows Azure для Windows Server, 26</w:t>
      </w:r>
    </w:p>
    <w:p w14:paraId="267BA6A7" w14:textId="77777777" w:rsidR="008E032C" w:rsidRDefault="008E032C">
      <w:pPr>
        <w:pStyle w:val="Index1"/>
        <w:tabs>
          <w:tab w:val="right" w:leader="dot" w:pos="5030"/>
        </w:tabs>
        <w:rPr>
          <w:noProof/>
        </w:rPr>
      </w:pPr>
      <w:r>
        <w:rPr>
          <w:noProof/>
        </w:rPr>
        <w:t>Пакет многоязыкового интерфейса для Office 2013, 19</w:t>
      </w:r>
    </w:p>
    <w:p w14:paraId="70B51F85" w14:textId="77777777" w:rsidR="008E032C" w:rsidRDefault="008E032C">
      <w:pPr>
        <w:pStyle w:val="Index1"/>
        <w:tabs>
          <w:tab w:val="right" w:leader="dot" w:pos="5030"/>
        </w:tabs>
        <w:rPr>
          <w:noProof/>
        </w:rPr>
      </w:pPr>
      <w:r w:rsidRPr="00604556">
        <w:rPr>
          <w:noProof/>
          <w:spacing w:val="-1"/>
        </w:rPr>
        <w:t>Пакет облачной платформы</w:t>
      </w:r>
      <w:r>
        <w:rPr>
          <w:noProof/>
        </w:rPr>
        <w:t>, 10, 26, 27</w:t>
      </w:r>
    </w:p>
    <w:p w14:paraId="6F871CC3" w14:textId="77777777" w:rsidR="008E032C" w:rsidRDefault="008E032C">
      <w:pPr>
        <w:pStyle w:val="Index1"/>
        <w:tabs>
          <w:tab w:val="right" w:leader="dot" w:pos="5030"/>
        </w:tabs>
        <w:rPr>
          <w:noProof/>
        </w:rPr>
      </w:pPr>
      <w:r>
        <w:rPr>
          <w:noProof/>
        </w:rPr>
        <w:t>Поставщик услуг Microsoft Dynamics 365, 15</w:t>
      </w:r>
    </w:p>
    <w:p w14:paraId="2D6750F6" w14:textId="77777777" w:rsidR="008E032C" w:rsidRDefault="008E032C">
      <w:pPr>
        <w:pStyle w:val="Index1"/>
        <w:tabs>
          <w:tab w:val="right" w:leader="dot" w:pos="5030"/>
        </w:tabs>
        <w:rPr>
          <w:noProof/>
        </w:rPr>
      </w:pPr>
      <w:r>
        <w:rPr>
          <w:noProof/>
        </w:rPr>
        <w:t>Приложения Office Web Apps, 3</w:t>
      </w:r>
    </w:p>
    <w:p w14:paraId="6F99CB66" w14:textId="77777777" w:rsidR="008E032C" w:rsidRDefault="008E032C">
      <w:pPr>
        <w:pStyle w:val="Index1"/>
        <w:tabs>
          <w:tab w:val="right" w:leader="dot" w:pos="5030"/>
        </w:tabs>
        <w:rPr>
          <w:noProof/>
        </w:rPr>
      </w:pPr>
      <w:r>
        <w:rPr>
          <w:noProof/>
        </w:rPr>
        <w:t>Размещение Microsoft User Experience Virtualization для рабочих столов, 30</w:t>
      </w:r>
    </w:p>
    <w:p w14:paraId="7A1D06AE" w14:textId="77777777" w:rsidR="008E032C" w:rsidRDefault="008E032C">
      <w:pPr>
        <w:pStyle w:val="Index1"/>
        <w:tabs>
          <w:tab w:val="right" w:leader="dot" w:pos="5030"/>
        </w:tabs>
        <w:rPr>
          <w:noProof/>
        </w:rPr>
      </w:pPr>
      <w:r>
        <w:rPr>
          <w:noProof/>
        </w:rPr>
        <w:t>Размещение SharePoint 2019, 22</w:t>
      </w:r>
    </w:p>
    <w:p w14:paraId="46964084" w14:textId="77777777" w:rsidR="008E032C" w:rsidRDefault="008E032C">
      <w:pPr>
        <w:pStyle w:val="Index1"/>
        <w:tabs>
          <w:tab w:val="right" w:leader="dot" w:pos="5030"/>
        </w:tabs>
        <w:rPr>
          <w:noProof/>
        </w:rPr>
      </w:pPr>
      <w:r>
        <w:rPr>
          <w:noProof/>
        </w:rPr>
        <w:t>Службы удаленных рабочих столов Windows Server 2019, 33, 34</w:t>
      </w:r>
    </w:p>
    <w:p w14:paraId="17C01B72" w14:textId="3FE9ABE5" w:rsidR="008E032C" w:rsidRDefault="008E032C" w:rsidP="002024BF">
      <w:pPr>
        <w:pStyle w:val="ProductList-Body"/>
        <w:tabs>
          <w:tab w:val="clear" w:pos="360"/>
          <w:tab w:val="clear" w:pos="720"/>
          <w:tab w:val="clear" w:pos="1080"/>
        </w:tabs>
        <w:rPr>
          <w:rFonts w:cstheme="minorHAnsi"/>
          <w:noProof/>
        </w:rPr>
        <w:sectPr w:rsidR="008E032C" w:rsidSect="008E032C">
          <w:type w:val="continuous"/>
          <w:pgSz w:w="12240" w:h="15840"/>
          <w:pgMar w:top="1166" w:right="720" w:bottom="720" w:left="720" w:header="720" w:footer="720" w:gutter="0"/>
          <w:cols w:num="2" w:space="720"/>
          <w:titlePg/>
          <w:docGrid w:linePitch="360"/>
        </w:sectPr>
      </w:pPr>
    </w:p>
    <w:p w14:paraId="79C06F61" w14:textId="53239962"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8E032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87016" w14:textId="77777777" w:rsidR="007463F0" w:rsidRDefault="007463F0" w:rsidP="009A573F">
      <w:pPr>
        <w:spacing w:after="0" w:line="240" w:lineRule="auto"/>
      </w:pPr>
      <w:r>
        <w:separator/>
      </w:r>
    </w:p>
  </w:endnote>
  <w:endnote w:type="continuationSeparator" w:id="0">
    <w:p w14:paraId="5A43BEA4" w14:textId="77777777" w:rsidR="007463F0" w:rsidRDefault="007463F0" w:rsidP="009A573F">
      <w:pPr>
        <w:spacing w:after="0" w:line="240" w:lineRule="auto"/>
      </w:pPr>
      <w:r>
        <w:continuationSeparator/>
      </w:r>
    </w:p>
  </w:endnote>
  <w:endnote w:type="continuationNotice" w:id="1">
    <w:p w14:paraId="2AAFDDAA" w14:textId="77777777" w:rsidR="007463F0" w:rsidRDefault="00746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5A2D634" w14:textId="77777777" w:rsidTr="00CA55D9">
      <w:tc>
        <w:tcPr>
          <w:tcW w:w="1255" w:type="dxa"/>
          <w:shd w:val="clear" w:color="auto" w:fill="BFBFBF" w:themeFill="background1" w:themeFillShade="BF"/>
          <w:vAlign w:val="center"/>
        </w:tcPr>
        <w:p w14:paraId="2DBC2034"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52C338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F966FD9"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22B0" w:rsidRPr="00C76DF3" w:rsidRDefault="00E72D01" w:rsidP="00370875">
          <w:pPr>
            <w:pStyle w:val="ProductList-OfferingBody"/>
            <w:ind w:left="-72" w:right="-75"/>
            <w:jc w:val="center"/>
            <w:rPr>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22B0" w:rsidRPr="00C76DF3" w:rsidRDefault="00E72D01" w:rsidP="00370875">
          <w:pPr>
            <w:pStyle w:val="ProductList-OfferingBody"/>
            <w:ind w:left="-72" w:right="-77"/>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5" w:type="dxa"/>
          <w:tcBorders>
            <w:top w:val="nil"/>
            <w:bottom w:val="nil"/>
          </w:tcBorders>
          <w:vAlign w:val="center"/>
        </w:tcPr>
        <w:p w14:paraId="69800AFB"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0" w:type="dxa"/>
          <w:tcBorders>
            <w:top w:val="nil"/>
            <w:bottom w:val="nil"/>
          </w:tcBorders>
        </w:tcPr>
        <w:p w14:paraId="4F6F306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r w:rsidR="008022B0">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CB167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3003BC5" w14:textId="77777777" w:rsidR="008022B0" w:rsidRDefault="008022B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3131"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39752A4" w14:textId="77777777" w:rsidTr="00E655A8">
      <w:tc>
        <w:tcPr>
          <w:tcW w:w="1705" w:type="dxa"/>
          <w:shd w:val="clear" w:color="auto" w:fill="F2F2F2"/>
          <w:vAlign w:val="center"/>
        </w:tcPr>
        <w:p w14:paraId="2DF41C76"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8F4B7DB"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AF86F64"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453FF1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A89183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F4A41AF" w14:textId="77777777" w:rsidR="008022B0" w:rsidRPr="00383BC7" w:rsidRDefault="008022B0"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BE8E"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465425E" w14:textId="77777777" w:rsidTr="00E655A8">
      <w:tc>
        <w:tcPr>
          <w:tcW w:w="1705" w:type="dxa"/>
          <w:shd w:val="clear" w:color="auto" w:fill="F2F2F2"/>
          <w:vAlign w:val="center"/>
        </w:tcPr>
        <w:p w14:paraId="6BC12C25" w14:textId="77777777" w:rsidR="008022B0" w:rsidRPr="00C76DF3" w:rsidRDefault="00E72D01"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CC76A1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8022B0" w:rsidRPr="00C76DF3" w:rsidRDefault="00E72D01"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4261C573"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8022B0" w:rsidRPr="00C76DF3" w:rsidRDefault="00E72D01"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3F4B21D"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8022B0" w:rsidRPr="00C76DF3" w:rsidRDefault="00E72D01"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F55B4C7"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8022B0" w:rsidRPr="00BC32F4" w:rsidRDefault="00E72D01"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8022B0" w:rsidRPr="00C76DF3" w:rsidRDefault="00E72D01"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BAFDBAC" w14:textId="77777777" w:rsidR="008022B0" w:rsidRPr="00383BC7" w:rsidRDefault="008022B0"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1C8F6"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1A22E3D" w14:textId="77777777" w:rsidTr="00E655A8">
      <w:tc>
        <w:tcPr>
          <w:tcW w:w="1705" w:type="dxa"/>
          <w:shd w:val="clear" w:color="auto" w:fill="F2F2F2"/>
          <w:vAlign w:val="center"/>
        </w:tcPr>
        <w:p w14:paraId="70A742E1" w14:textId="77777777" w:rsidR="008022B0" w:rsidRPr="00C76DF3" w:rsidRDefault="00E72D01"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BBDB6C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8022B0" w:rsidRPr="00C76DF3" w:rsidRDefault="00E72D01"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1D412FD"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8022B0" w:rsidRPr="00C76DF3" w:rsidRDefault="00E72D01"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6413A6F"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8022B0" w:rsidRPr="00C76DF3" w:rsidRDefault="00E72D01"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06702D3"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8022B0" w:rsidRPr="00BC32F4" w:rsidRDefault="00E72D01"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8022B0" w:rsidRPr="00C76DF3" w:rsidRDefault="00E72D01"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5D4CD9F" w14:textId="77777777" w:rsidR="008022B0" w:rsidRPr="00383BC7" w:rsidRDefault="008022B0"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55EE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B9A887A" w14:textId="77777777" w:rsidTr="00E655A8">
      <w:tc>
        <w:tcPr>
          <w:tcW w:w="1705" w:type="dxa"/>
          <w:shd w:val="clear" w:color="auto" w:fill="F2F2F2"/>
          <w:vAlign w:val="center"/>
        </w:tcPr>
        <w:p w14:paraId="5BA674EB"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BE053A2"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51D21E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C9E099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6FEAD9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2729CF7" w14:textId="77777777" w:rsidR="008022B0" w:rsidRPr="00383BC7" w:rsidRDefault="008022B0"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D2937"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0A91E82C" w14:textId="77777777" w:rsidTr="00E655A8">
      <w:tc>
        <w:tcPr>
          <w:tcW w:w="1705" w:type="dxa"/>
          <w:shd w:val="clear" w:color="auto" w:fill="F2F2F2"/>
          <w:vAlign w:val="center"/>
        </w:tcPr>
        <w:p w14:paraId="15A2E1C6"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BC24A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2A59228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771E232"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E38DF6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A849749" w14:textId="77777777" w:rsidR="008022B0" w:rsidRPr="00383BC7" w:rsidRDefault="008022B0"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07BEBB86" w14:textId="77777777" w:rsidTr="00A74916">
      <w:tc>
        <w:tcPr>
          <w:tcW w:w="1705" w:type="dxa"/>
          <w:shd w:val="clear" w:color="auto" w:fill="F2F2F2" w:themeFill="background1" w:themeFillShade="F2"/>
          <w:vAlign w:val="center"/>
        </w:tcPr>
        <w:p w14:paraId="6D7E20A1" w14:textId="77777777" w:rsidR="008022B0" w:rsidRPr="00C76DF3" w:rsidRDefault="00E72D01" w:rsidP="00A74916">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AB6AA4A" w14:textId="77777777" w:rsidR="008022B0" w:rsidRPr="00C76DF3" w:rsidRDefault="008022B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022B0" w:rsidRPr="00C76DF3" w:rsidRDefault="00E72D01" w:rsidP="00A74916">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865D78A" w14:textId="77777777" w:rsidR="008022B0" w:rsidRPr="00C76DF3" w:rsidRDefault="008022B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022B0" w:rsidRPr="00C76DF3" w:rsidRDefault="00E72D01" w:rsidP="00A74916">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FD90A9D" w14:textId="77777777" w:rsidR="008022B0" w:rsidRPr="00C76DF3" w:rsidRDefault="008022B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022B0" w:rsidRPr="00C76DF3" w:rsidRDefault="00E72D01"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318CDBC1" w14:textId="77777777" w:rsidR="008022B0" w:rsidRPr="00C76DF3" w:rsidRDefault="008022B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022B0" w:rsidRPr="00C76DF3" w:rsidRDefault="00E72D01" w:rsidP="00A74916">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8022B0" w:rsidRPr="00C76DF3" w:rsidRDefault="008022B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022B0" w:rsidRPr="00C76DF3" w:rsidRDefault="00E72D01" w:rsidP="00A74916">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0D02DEA" w14:textId="77777777" w:rsidR="008022B0" w:rsidRDefault="008022B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976A13B" w14:textId="77777777" w:rsidTr="00B5200C">
      <w:tc>
        <w:tcPr>
          <w:tcW w:w="1255" w:type="dxa"/>
          <w:shd w:val="clear" w:color="auto" w:fill="F2F2F2" w:themeFill="background1" w:themeFillShade="F2"/>
          <w:vAlign w:val="center"/>
        </w:tcPr>
        <w:p w14:paraId="1B8C4D34"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7A7F6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CACEE0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89702D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B5DF31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DF221D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71434A5" w14:textId="77777777" w:rsidR="008022B0" w:rsidRDefault="008022B0"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E7895"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2C7B7E65" w14:textId="77777777" w:rsidTr="00E655A8">
      <w:tc>
        <w:tcPr>
          <w:tcW w:w="1705" w:type="dxa"/>
          <w:shd w:val="clear" w:color="auto" w:fill="F2F2F2"/>
          <w:vAlign w:val="center"/>
        </w:tcPr>
        <w:p w14:paraId="6AB4ED74"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A06689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BDFF44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2D174A"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0ED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8ACC5C1" w14:textId="77777777" w:rsidR="008022B0" w:rsidRPr="00383BC7" w:rsidRDefault="008022B0"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5C649670" w14:textId="77777777" w:rsidTr="00EA3FA8">
      <w:tc>
        <w:tcPr>
          <w:tcW w:w="1255" w:type="dxa"/>
          <w:shd w:val="clear" w:color="auto" w:fill="F2F2F2" w:themeFill="background1" w:themeFillShade="F2"/>
          <w:vAlign w:val="center"/>
        </w:tcPr>
        <w:p w14:paraId="175B9B23"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05B5EF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85D1FF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01D3C3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5CFE3D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4BDD804"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19EC1CDC" w14:textId="77777777" w:rsidR="008022B0" w:rsidRDefault="008022B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0AD18" w14:textId="77777777" w:rsidR="008022B0" w:rsidRDefault="008022B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AA1F7F0" w14:textId="77777777" w:rsidTr="00DE0AAE">
      <w:tc>
        <w:tcPr>
          <w:tcW w:w="1705" w:type="dxa"/>
          <w:shd w:val="clear" w:color="auto" w:fill="F2F2F2" w:themeFill="background1" w:themeFillShade="F2"/>
          <w:vAlign w:val="center"/>
        </w:tcPr>
        <w:p w14:paraId="605D6E53" w14:textId="77777777" w:rsidR="008022B0" w:rsidRPr="00C76DF3" w:rsidRDefault="00E72D01" w:rsidP="00383BC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7B5E429C" w14:textId="77777777" w:rsidR="008022B0" w:rsidRPr="00C76DF3" w:rsidRDefault="008022B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8022B0" w:rsidRPr="00C76DF3" w:rsidRDefault="00E72D01" w:rsidP="00383BC7">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035CB8E" w14:textId="77777777" w:rsidR="008022B0" w:rsidRPr="00C76DF3" w:rsidRDefault="008022B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8022B0" w:rsidRPr="00C76DF3" w:rsidRDefault="00E72D01" w:rsidP="00383BC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9099ADE" w14:textId="77777777" w:rsidR="008022B0" w:rsidRPr="00C76DF3" w:rsidRDefault="008022B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8022B0" w:rsidRPr="00C76DF3" w:rsidRDefault="00E72D01" w:rsidP="00383BC7">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D75A4B2" w14:textId="77777777" w:rsidR="008022B0" w:rsidRPr="00C76DF3" w:rsidRDefault="008022B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8022B0" w:rsidRPr="00C76DF3" w:rsidRDefault="00E72D01" w:rsidP="00383BC7">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8022B0" w:rsidRPr="00C76DF3" w:rsidRDefault="008022B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8022B0" w:rsidRPr="00C76DF3" w:rsidRDefault="00E72D01" w:rsidP="00383BC7">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72B177CB" w14:textId="77777777" w:rsidR="008022B0" w:rsidRPr="00383BC7" w:rsidRDefault="008022B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22B0" w:rsidRDefault="008022B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67B7198" w14:textId="77777777" w:rsidTr="00EA3FA8">
      <w:tc>
        <w:tcPr>
          <w:tcW w:w="1255" w:type="dxa"/>
          <w:shd w:val="clear" w:color="auto" w:fill="F2F2F2" w:themeFill="background1" w:themeFillShade="F2"/>
          <w:vAlign w:val="center"/>
        </w:tcPr>
        <w:p w14:paraId="7E1DB5BC"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4D1DBB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553E0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9F6F227"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013D4A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7EC8F1C"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8C18D89" w14:textId="77777777" w:rsidR="008022B0" w:rsidRDefault="008022B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AFB4D56" w14:textId="77777777" w:rsidTr="00EA3FA8">
      <w:tc>
        <w:tcPr>
          <w:tcW w:w="1255" w:type="dxa"/>
          <w:shd w:val="clear" w:color="auto" w:fill="F2F2F2" w:themeFill="background1" w:themeFillShade="F2"/>
          <w:vAlign w:val="center"/>
        </w:tcPr>
        <w:p w14:paraId="0EBB1C0A" w14:textId="77777777" w:rsidR="008022B0" w:rsidRPr="00C76DF3" w:rsidRDefault="00E72D01" w:rsidP="00370875">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B2F640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8022B0" w:rsidRPr="00C76DF3" w:rsidRDefault="00E72D01" w:rsidP="00370875">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4932A5"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8022B0" w:rsidRPr="00C76DF3" w:rsidRDefault="00E72D01" w:rsidP="00370875">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83CBEE9"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8022B0" w:rsidRPr="00C76DF3" w:rsidRDefault="00E72D01" w:rsidP="00370875">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8022B0" w:rsidRPr="00C76DF3" w:rsidRDefault="00E72D01" w:rsidP="00370875">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5BC473B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8022B0" w:rsidRPr="00C76DF3" w:rsidRDefault="00E72D01" w:rsidP="00370875">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19F193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8022B0" w:rsidRPr="00C76DF3" w:rsidRDefault="00E72D01" w:rsidP="00370875">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45D2C54B" w14:textId="77777777" w:rsidR="008022B0" w:rsidRDefault="008022B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7CDD6C2" w14:textId="77777777" w:rsidTr="00EA3FA8">
      <w:tc>
        <w:tcPr>
          <w:tcW w:w="1255" w:type="dxa"/>
          <w:shd w:val="clear" w:color="auto" w:fill="F2F2F2" w:themeFill="background1" w:themeFillShade="F2"/>
          <w:vAlign w:val="center"/>
        </w:tcPr>
        <w:p w14:paraId="50EFA74E"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4F23866"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CA94F82"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E9B004E"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514677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2636FA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EB4B39B" w14:textId="77777777" w:rsidR="008022B0" w:rsidRDefault="008022B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57D3" w14:textId="77777777" w:rsidR="008022B0" w:rsidRPr="002306EF" w:rsidRDefault="008022B0"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12049ED8" w14:textId="77777777" w:rsidTr="004F44B2">
      <w:tc>
        <w:tcPr>
          <w:tcW w:w="1705" w:type="dxa"/>
          <w:shd w:val="clear" w:color="auto" w:fill="F2F2F2" w:themeFill="background1" w:themeFillShade="F2"/>
          <w:vAlign w:val="center"/>
        </w:tcPr>
        <w:p w14:paraId="0B62D2BD" w14:textId="77777777" w:rsidR="008022B0" w:rsidRPr="00C76DF3" w:rsidRDefault="00E72D01"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93B4C9D"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022B0" w:rsidRPr="00C76DF3" w:rsidRDefault="00E72D01"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79BFDE7D"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022B0" w:rsidRPr="00C76DF3" w:rsidRDefault="00E72D01"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574602"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022B0" w:rsidRPr="00C76DF3" w:rsidRDefault="00E72D01"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7F606E4B"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022B0" w:rsidRPr="00C76DF3" w:rsidRDefault="00E72D01" w:rsidP="008024AF">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022B0" w:rsidRPr="00C76DF3" w:rsidRDefault="00E72D01"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85A1ECA" w14:textId="77777777" w:rsidR="008022B0" w:rsidRDefault="008022B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F68E318" w14:textId="77777777" w:rsidTr="004F44B2">
      <w:tc>
        <w:tcPr>
          <w:tcW w:w="1705" w:type="dxa"/>
          <w:shd w:val="clear" w:color="auto" w:fill="F2F2F2" w:themeFill="background1" w:themeFillShade="F2"/>
          <w:vAlign w:val="center"/>
        </w:tcPr>
        <w:p w14:paraId="7D186825" w14:textId="77777777" w:rsidR="008022B0" w:rsidRPr="00C76DF3" w:rsidRDefault="00E72D01"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C603ED1"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022B0" w:rsidRPr="00C76DF3" w:rsidRDefault="00E72D01"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BDDECB1"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022B0" w:rsidRPr="00C76DF3" w:rsidRDefault="00E72D01"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C626B07"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022B0" w:rsidRPr="00C76DF3" w:rsidRDefault="00E72D01"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55CD9B11"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022B0" w:rsidRPr="00C76DF3" w:rsidRDefault="00E72D01" w:rsidP="008024AF">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022B0" w:rsidRPr="00C76DF3" w:rsidRDefault="00E72D01"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84A45CA" w14:textId="77777777" w:rsidR="008022B0" w:rsidRDefault="008022B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050F560" w14:textId="77777777" w:rsidTr="00EA3FA8">
      <w:tc>
        <w:tcPr>
          <w:tcW w:w="1255" w:type="dxa"/>
          <w:shd w:val="clear" w:color="auto" w:fill="F2F2F2" w:themeFill="background1" w:themeFillShade="F2"/>
          <w:vAlign w:val="center"/>
        </w:tcPr>
        <w:p w14:paraId="0C175BDE"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72C0A58"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F5C8E5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1717674"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F3DBF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395C535"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E222F7" w14:textId="77777777" w:rsidR="008022B0" w:rsidRDefault="008022B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F18F4C5" w14:textId="77777777" w:rsidTr="00EA3FA8">
      <w:tc>
        <w:tcPr>
          <w:tcW w:w="1255" w:type="dxa"/>
          <w:shd w:val="clear" w:color="auto" w:fill="F2F2F2" w:themeFill="background1" w:themeFillShade="F2"/>
          <w:vAlign w:val="center"/>
        </w:tcPr>
        <w:p w14:paraId="06FFC0C0"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C9230E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CA1638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D3DFB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131CE1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C6E662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B72D89F" w14:textId="77777777" w:rsidR="008022B0" w:rsidRDefault="008022B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EF3724C" w14:textId="77777777" w:rsidTr="00EA3FA8">
      <w:tc>
        <w:tcPr>
          <w:tcW w:w="1255" w:type="dxa"/>
          <w:shd w:val="clear" w:color="auto" w:fill="F2F2F2" w:themeFill="background1" w:themeFillShade="F2"/>
          <w:vAlign w:val="center"/>
        </w:tcPr>
        <w:p w14:paraId="259F1622"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320EA7F"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68ACE0A7"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BC392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00AA1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BE6EFB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C74B829" w14:textId="77777777" w:rsidR="008022B0" w:rsidRDefault="008022B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0CF0455" w14:textId="77777777" w:rsidTr="00EA3FA8">
      <w:tc>
        <w:tcPr>
          <w:tcW w:w="1255" w:type="dxa"/>
          <w:shd w:val="clear" w:color="auto" w:fill="F2F2F2" w:themeFill="background1" w:themeFillShade="F2"/>
          <w:vAlign w:val="center"/>
        </w:tcPr>
        <w:p w14:paraId="777FB387"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91726D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4588F4E"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EF78E2D"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FCB791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01E44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0E5E2DB" w14:textId="77777777" w:rsidR="008022B0" w:rsidRDefault="008022B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3284" w14:textId="77777777" w:rsidR="008022B0" w:rsidRPr="00383BC7" w:rsidRDefault="008022B0"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1B966A2" w14:textId="77777777" w:rsidTr="00E655A8">
      <w:tc>
        <w:tcPr>
          <w:tcW w:w="1705" w:type="dxa"/>
          <w:shd w:val="clear" w:color="auto" w:fill="BFBFBF"/>
          <w:vAlign w:val="center"/>
        </w:tcPr>
        <w:p w14:paraId="0880A3A2"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A1241B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470E1E2"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B1F9E16"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B127B47"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20A340FA" w14:textId="77777777" w:rsidR="008022B0" w:rsidRPr="00383BC7" w:rsidRDefault="008022B0"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643A678" w14:textId="77777777" w:rsidTr="009A2137">
      <w:tc>
        <w:tcPr>
          <w:tcW w:w="1255" w:type="dxa"/>
          <w:shd w:val="clear" w:color="auto" w:fill="F2F2F2" w:themeFill="background1" w:themeFillShade="F2"/>
          <w:vAlign w:val="center"/>
        </w:tcPr>
        <w:p w14:paraId="25DD5E75" w14:textId="77777777" w:rsidR="008022B0" w:rsidRPr="00C76DF3" w:rsidRDefault="00E72D01" w:rsidP="009A213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87D7F21" w14:textId="77777777" w:rsidR="008022B0" w:rsidRPr="00C76DF3" w:rsidRDefault="008022B0"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8022B0" w:rsidRPr="00C76DF3" w:rsidRDefault="00E72D01" w:rsidP="009A2137">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3E0B16A" w14:textId="77777777" w:rsidR="008022B0" w:rsidRPr="00C76DF3" w:rsidRDefault="008022B0"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8022B0" w:rsidRPr="00C76DF3" w:rsidRDefault="00E72D01" w:rsidP="009A213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08648C29" w14:textId="77777777" w:rsidR="008022B0" w:rsidRPr="00C76DF3" w:rsidRDefault="008022B0"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8022B0" w:rsidRPr="00C76DF3" w:rsidRDefault="00E72D01" w:rsidP="009A2137">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8022B0" w:rsidRPr="00C76DF3" w:rsidRDefault="00E72D01" w:rsidP="009A2137">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39FD5AA3" w14:textId="77777777" w:rsidR="008022B0" w:rsidRPr="00C76DF3" w:rsidRDefault="008022B0" w:rsidP="009A2137">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8022B0" w:rsidRPr="00C76DF3" w:rsidRDefault="00E72D01" w:rsidP="009A2137">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8022B0" w:rsidRPr="00C76DF3" w:rsidRDefault="00E72D01" w:rsidP="009A2137">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DB6DD1C" w14:textId="77777777" w:rsidR="008022B0" w:rsidRPr="00C76DF3" w:rsidRDefault="008022B0"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8022B0" w:rsidRPr="00C76DF3" w:rsidRDefault="00E72D01" w:rsidP="009A2137">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56119A" w14:textId="77777777" w:rsidR="008022B0" w:rsidRDefault="008022B0"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9A3ACD4" w14:textId="77777777" w:rsidTr="00EA3FA8">
      <w:tc>
        <w:tcPr>
          <w:tcW w:w="1255" w:type="dxa"/>
          <w:shd w:val="clear" w:color="auto" w:fill="F2F2F2" w:themeFill="background1" w:themeFillShade="F2"/>
          <w:vAlign w:val="center"/>
        </w:tcPr>
        <w:p w14:paraId="1F14D9BF"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DF23F2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D1A67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EDCD2C5"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44CED59"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0E86013E"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72A1E27" w14:textId="77777777" w:rsidR="008022B0" w:rsidRDefault="008022B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745D0BC" w14:textId="77777777" w:rsidTr="00EA3FA8">
      <w:tc>
        <w:tcPr>
          <w:tcW w:w="1255" w:type="dxa"/>
          <w:shd w:val="clear" w:color="auto" w:fill="F2F2F2" w:themeFill="background1" w:themeFillShade="F2"/>
          <w:vAlign w:val="center"/>
        </w:tcPr>
        <w:p w14:paraId="2FB28B89"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F9FD0CC"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F89CC8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E6E59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67D9FF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A9B665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C65752A" w14:textId="77777777" w:rsidR="008022B0" w:rsidRDefault="008022B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09BEA" w14:textId="77777777" w:rsidR="008022B0" w:rsidRDefault="008022B0"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8022B0" w:rsidRPr="00C76DF3" w:rsidRDefault="00E72D01"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3E05207"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8022B0" w:rsidRPr="00C76DF3" w:rsidRDefault="00E72D01"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3F97CA7"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8022B0" w:rsidRPr="00C76DF3" w:rsidRDefault="00E72D01"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D206B7C"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8022B0" w:rsidRPr="00C76DF3" w:rsidRDefault="00E72D01" w:rsidP="00061C38">
          <w:pPr>
            <w:pStyle w:val="ProductList-OfferingBody"/>
            <w:ind w:left="-72" w:right="-77"/>
            <w:jc w:val="center"/>
            <w:rPr>
              <w:color w:val="808080" w:themeColor="background1" w:themeShade="80"/>
              <w:sz w:val="14"/>
              <w:szCs w:val="14"/>
            </w:rPr>
          </w:pPr>
          <w:hyperlink w:anchor="ProductLicensing" w:history="1">
            <w:r w:rsidR="008022B0"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8022B0" w:rsidRPr="00C76DF3" w:rsidRDefault="00E72D01" w:rsidP="00061C38">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8022B0" w:rsidRPr="00C76DF3" w:rsidRDefault="00E72D01"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5BA8902" w14:textId="77777777" w:rsidR="008022B0" w:rsidRPr="00BF0916" w:rsidRDefault="008022B0"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33E2D131" w14:textId="77777777" w:rsidTr="00061C38">
      <w:tc>
        <w:tcPr>
          <w:tcW w:w="1255" w:type="dxa"/>
          <w:shd w:val="clear" w:color="auto" w:fill="F2F2F2" w:themeFill="background1" w:themeFillShade="F2"/>
          <w:vAlign w:val="center"/>
        </w:tcPr>
        <w:p w14:paraId="2391C409" w14:textId="77777777" w:rsidR="008022B0" w:rsidRPr="00C76DF3" w:rsidRDefault="00E72D01"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A1A4DA2"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8022B0" w:rsidRPr="00C76DF3" w:rsidRDefault="00E72D01"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70E8B0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8022B0" w:rsidRPr="00C76DF3" w:rsidRDefault="00E72D01"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340B719"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8022B0" w:rsidRPr="00C76DF3" w:rsidRDefault="00E72D01"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8022B0" w:rsidRPr="00C76DF3" w:rsidRDefault="00E72D01"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110009C6"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8022B0" w:rsidRPr="00C76DF3" w:rsidRDefault="00E72D01"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8022B0" w:rsidRPr="00C76DF3" w:rsidRDefault="00E72D01"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19E20B2"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8022B0" w:rsidRPr="00C76DF3" w:rsidRDefault="00E72D01"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1F8011F1" w14:textId="77777777" w:rsidR="008022B0" w:rsidRDefault="008022B0"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5A0D2FF" w14:textId="77777777" w:rsidTr="00EA3FA8">
      <w:tc>
        <w:tcPr>
          <w:tcW w:w="1255" w:type="dxa"/>
          <w:shd w:val="clear" w:color="auto" w:fill="F2F2F2" w:themeFill="background1" w:themeFillShade="F2"/>
          <w:vAlign w:val="center"/>
        </w:tcPr>
        <w:p w14:paraId="055B61A7"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DBDF293"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645AE9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1A7A566"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A5D4983"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2DF8F0"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5CB37B6" w14:textId="77777777" w:rsidR="008022B0" w:rsidRDefault="008022B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D97EBD2" w14:textId="77777777" w:rsidTr="00EA3FA8">
      <w:tc>
        <w:tcPr>
          <w:tcW w:w="1255" w:type="dxa"/>
          <w:shd w:val="clear" w:color="auto" w:fill="F2F2F2" w:themeFill="background1" w:themeFillShade="F2"/>
          <w:vAlign w:val="center"/>
        </w:tcPr>
        <w:p w14:paraId="17586081"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47B01F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5D7AACB"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56996CB"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7208CE7"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F80BF6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83EC308" w14:textId="77777777" w:rsidR="008022B0" w:rsidRDefault="008022B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DD4D"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04FB00D" w14:textId="77777777" w:rsidTr="006E6186">
      <w:tc>
        <w:tcPr>
          <w:tcW w:w="1705" w:type="dxa"/>
          <w:shd w:val="clear" w:color="auto" w:fill="F2F2F2"/>
          <w:vAlign w:val="center"/>
        </w:tcPr>
        <w:p w14:paraId="373387A6"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EE7B961"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4C6B718"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A5A0FF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2809D"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C21A1E2" w14:textId="77777777" w:rsidR="008022B0" w:rsidRPr="00383BC7" w:rsidRDefault="008022B0"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F50E3D" w14:textId="77777777" w:rsidTr="00EA3FA8">
      <w:tc>
        <w:tcPr>
          <w:tcW w:w="1255" w:type="dxa"/>
          <w:shd w:val="clear" w:color="auto" w:fill="F2F2F2" w:themeFill="background1" w:themeFillShade="F2"/>
          <w:vAlign w:val="center"/>
        </w:tcPr>
        <w:p w14:paraId="5194E69E"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860121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AE8E35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710BAD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959C79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E663F6A"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B30077D" w14:textId="77777777" w:rsidR="008022B0" w:rsidRDefault="008022B0"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FAC1041" w14:textId="77777777" w:rsidTr="008022B0">
      <w:tc>
        <w:tcPr>
          <w:tcW w:w="1255" w:type="dxa"/>
          <w:shd w:val="clear" w:color="auto" w:fill="F2F2F2" w:themeFill="background1" w:themeFillShade="F2"/>
          <w:vAlign w:val="center"/>
        </w:tcPr>
        <w:p w14:paraId="22EB33DD" w14:textId="77777777" w:rsidR="008022B0" w:rsidRPr="00C76DF3" w:rsidRDefault="00E72D01"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431704A"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8022B0" w:rsidRPr="00C76DF3" w:rsidRDefault="00E72D01"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9F616A7"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8022B0" w:rsidRPr="00C76DF3" w:rsidRDefault="00E72D01"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A7C64C2"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8022B0" w:rsidRPr="00C76DF3" w:rsidRDefault="00E72D01"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8022B0" w:rsidRPr="00C76DF3" w:rsidRDefault="00E72D01"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3EB4FB94"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8022B0" w:rsidRPr="00C76DF3" w:rsidRDefault="00E72D01"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8022B0" w:rsidRPr="00C76DF3" w:rsidRDefault="00E72D01"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8549137"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8022B0" w:rsidRPr="00C76DF3" w:rsidRDefault="00E72D01"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6F86CEB" w14:textId="77777777" w:rsidR="008022B0" w:rsidRDefault="008022B0" w:rsidP="008022B0">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520C738" w14:textId="77777777" w:rsidTr="00CA55D9">
      <w:tc>
        <w:tcPr>
          <w:tcW w:w="1255" w:type="dxa"/>
          <w:shd w:val="clear" w:color="auto" w:fill="BFBFBF" w:themeFill="background1" w:themeFillShade="BF"/>
          <w:vAlign w:val="center"/>
        </w:tcPr>
        <w:p w14:paraId="78CD2218" w14:textId="77777777" w:rsidR="008022B0" w:rsidRPr="00C76DF3" w:rsidRDefault="00E72D01"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A1EB6D"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022B0" w:rsidRPr="00C76DF3" w:rsidRDefault="00E72D01"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BEA070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022B0" w:rsidRPr="00C76DF3" w:rsidRDefault="00E72D01"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B872E9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022B0" w:rsidRPr="00C76DF3" w:rsidRDefault="00E72D01"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022B0" w:rsidRPr="00C76DF3" w:rsidRDefault="00E72D01"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60EA4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022B0" w:rsidRPr="00C76DF3" w:rsidRDefault="00E72D01"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022B0" w:rsidRPr="00C76DF3" w:rsidRDefault="00E72D01"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988651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022B0" w:rsidRPr="00C76DF3" w:rsidRDefault="00E72D01"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5876EE2" w14:textId="77777777" w:rsidR="008022B0" w:rsidRDefault="008022B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87657E" w14:textId="77777777" w:rsidTr="008022B0">
      <w:tc>
        <w:tcPr>
          <w:tcW w:w="1255" w:type="dxa"/>
          <w:shd w:val="clear" w:color="auto" w:fill="F2F2F2" w:themeFill="background1" w:themeFillShade="F2"/>
          <w:vAlign w:val="center"/>
        </w:tcPr>
        <w:p w14:paraId="08DE9D0D" w14:textId="77777777" w:rsidR="008022B0" w:rsidRPr="00C76DF3" w:rsidRDefault="00E72D01"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F3B9F89"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8022B0" w:rsidRPr="00C76DF3" w:rsidRDefault="00E72D01"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A9A4FC4"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8022B0" w:rsidRPr="00C76DF3" w:rsidRDefault="00E72D01"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21C0837"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8022B0" w:rsidRPr="00C76DF3" w:rsidRDefault="00E72D01"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8022B0" w:rsidRPr="00C76DF3" w:rsidRDefault="00E72D01"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66E30028"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8022B0" w:rsidRPr="00C76DF3" w:rsidRDefault="00E72D01"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8022B0" w:rsidRPr="00C76DF3" w:rsidRDefault="00E72D01"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6336D7A1"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8022B0" w:rsidRPr="00C76DF3" w:rsidRDefault="00E72D01"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4D79A7" w14:textId="77777777" w:rsidR="008022B0" w:rsidRDefault="008022B0" w:rsidP="008022B0">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3B6365" w14:textId="77777777" w:rsidTr="00061C38">
      <w:tc>
        <w:tcPr>
          <w:tcW w:w="1255" w:type="dxa"/>
          <w:shd w:val="clear" w:color="auto" w:fill="F2F2F2" w:themeFill="background1" w:themeFillShade="F2"/>
          <w:vAlign w:val="center"/>
        </w:tcPr>
        <w:p w14:paraId="0E1EE622" w14:textId="77777777" w:rsidR="008022B0" w:rsidRPr="00C76DF3" w:rsidRDefault="00E72D01"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26F637E"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8022B0" w:rsidRPr="00C76DF3" w:rsidRDefault="00E72D01"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F3AF43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8022B0" w:rsidRPr="00C76DF3" w:rsidRDefault="00E72D01"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5ED7774"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8022B0" w:rsidRPr="00C76DF3" w:rsidRDefault="00E72D01"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8022B0" w:rsidRPr="00C76DF3" w:rsidRDefault="00E72D01"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6E01C60A"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8022B0" w:rsidRPr="00C76DF3" w:rsidRDefault="00E72D01"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8022B0" w:rsidRPr="00C76DF3" w:rsidRDefault="00E72D01"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A8AF487"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8022B0" w:rsidRPr="00C76DF3" w:rsidRDefault="00E72D01"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860E0B9" w14:textId="77777777" w:rsidR="008022B0" w:rsidRDefault="008022B0"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1D6E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5D50960" w14:textId="77777777" w:rsidTr="006E6186">
      <w:tc>
        <w:tcPr>
          <w:tcW w:w="1705" w:type="dxa"/>
          <w:shd w:val="clear" w:color="auto" w:fill="F2F2F2"/>
          <w:vAlign w:val="center"/>
        </w:tcPr>
        <w:p w14:paraId="6BFEBD13"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6A87B9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67A696"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47632A4"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3F75F7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8D58FA7" w14:textId="77777777" w:rsidR="008022B0" w:rsidRPr="00383BC7" w:rsidRDefault="008022B0" w:rsidP="007216C0">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08DA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001BFA8" w14:textId="77777777" w:rsidTr="006E6186">
      <w:tc>
        <w:tcPr>
          <w:tcW w:w="1705" w:type="dxa"/>
          <w:shd w:val="clear" w:color="auto" w:fill="F2F2F2"/>
          <w:vAlign w:val="center"/>
        </w:tcPr>
        <w:p w14:paraId="1BA77692"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27C8148"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AC166FB"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B63C95"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DC9339C"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E226E12" w14:textId="77777777" w:rsidR="008022B0" w:rsidRPr="00383BC7" w:rsidRDefault="008022B0"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4C318"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534E2004" w14:textId="77777777" w:rsidTr="001E651F">
      <w:tc>
        <w:tcPr>
          <w:tcW w:w="1705" w:type="dxa"/>
          <w:shd w:val="clear" w:color="auto" w:fill="F2F2F2"/>
          <w:vAlign w:val="center"/>
        </w:tcPr>
        <w:p w14:paraId="0FED7039"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2F701F7"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03C75E9"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102A56E"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8DA5DB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72F12FD" w14:textId="77777777" w:rsidR="008022B0" w:rsidRPr="00383BC7" w:rsidRDefault="008022B0"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70DBC"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ACFF47C" w14:textId="77777777" w:rsidTr="00E655A8">
      <w:tc>
        <w:tcPr>
          <w:tcW w:w="1705" w:type="dxa"/>
          <w:shd w:val="clear" w:color="auto" w:fill="F2F2F2"/>
          <w:vAlign w:val="center"/>
        </w:tcPr>
        <w:p w14:paraId="3256C847"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64E239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57698805"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8E7EF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20210F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6E3191B" w14:textId="77777777" w:rsidR="008022B0" w:rsidRPr="00383BC7" w:rsidRDefault="008022B0"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57D2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3A9C8EC" w14:textId="77777777" w:rsidTr="00E655A8">
      <w:tc>
        <w:tcPr>
          <w:tcW w:w="1705" w:type="dxa"/>
          <w:shd w:val="clear" w:color="auto" w:fill="F2F2F2"/>
          <w:vAlign w:val="center"/>
        </w:tcPr>
        <w:p w14:paraId="439ED985"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00B9E6E"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D7E816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FB901A0"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ECEA3DB"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38DC2CE" w14:textId="77777777" w:rsidR="008022B0" w:rsidRPr="00383BC7" w:rsidRDefault="008022B0"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9DB33"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6AE4463F" w14:textId="77777777" w:rsidTr="002F2679">
      <w:tc>
        <w:tcPr>
          <w:tcW w:w="1705" w:type="dxa"/>
          <w:shd w:val="clear" w:color="auto" w:fill="BFBFBF" w:themeFill="background1" w:themeFillShade="BF"/>
          <w:vAlign w:val="center"/>
        </w:tcPr>
        <w:p w14:paraId="05BAF338"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116DF4"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2B697A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D326AF"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777C023F"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267D14D" w14:textId="77777777" w:rsidR="008022B0" w:rsidRPr="00383BC7" w:rsidRDefault="008022B0"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4AB53" w14:textId="77777777" w:rsidR="008022B0" w:rsidRPr="00383BC7" w:rsidRDefault="008022B0"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48E3724" w14:textId="77777777" w:rsidTr="00BC308C">
      <w:tc>
        <w:tcPr>
          <w:tcW w:w="1705" w:type="dxa"/>
          <w:shd w:val="clear" w:color="auto" w:fill="F2F2F2"/>
          <w:vAlign w:val="center"/>
        </w:tcPr>
        <w:p w14:paraId="06AD42C9" w14:textId="77777777" w:rsidR="008022B0" w:rsidRPr="00C76DF3" w:rsidRDefault="00E72D01"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FE7C2E8"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8022B0" w:rsidRPr="00C76DF3" w:rsidRDefault="00E72D01"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F59ED96"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8022B0" w:rsidRPr="00C76DF3" w:rsidRDefault="00E72D01"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6CDAC26"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8022B0" w:rsidRPr="00C76DF3" w:rsidRDefault="00E72D01"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7381CE1"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8022B0" w:rsidRPr="00BC32F4" w:rsidRDefault="00E72D01"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8022B0" w:rsidRPr="00C76DF3" w:rsidRDefault="00E72D01"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EE63618" w14:textId="77777777" w:rsidR="008022B0" w:rsidRPr="00383BC7" w:rsidRDefault="008022B0"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E19"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6209D92" w14:textId="77777777" w:rsidTr="00E655A8">
      <w:tc>
        <w:tcPr>
          <w:tcW w:w="1705" w:type="dxa"/>
          <w:shd w:val="clear" w:color="auto" w:fill="F2F2F2"/>
          <w:vAlign w:val="center"/>
        </w:tcPr>
        <w:p w14:paraId="783F049E" w14:textId="77777777" w:rsidR="008022B0" w:rsidRPr="00C76DF3" w:rsidRDefault="00E72D01"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A122C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6761EEA"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8022B0" w:rsidRPr="00C76DF3" w:rsidRDefault="00E72D01"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9FF798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8022B0" w:rsidRPr="00C76DF3" w:rsidRDefault="00E72D01"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190B5A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8022B0" w:rsidRPr="00BC32F4" w:rsidRDefault="00E72D01"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8022B0" w:rsidRPr="00C76DF3" w:rsidRDefault="00E72D01"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C49EAB1" w14:textId="77777777" w:rsidR="008022B0" w:rsidRPr="00383BC7" w:rsidRDefault="008022B0"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A29E3" w14:textId="77777777" w:rsidR="007463F0" w:rsidRDefault="007463F0" w:rsidP="009A573F">
      <w:pPr>
        <w:spacing w:after="0" w:line="240" w:lineRule="auto"/>
      </w:pPr>
      <w:r>
        <w:separator/>
      </w:r>
    </w:p>
  </w:footnote>
  <w:footnote w:type="continuationSeparator" w:id="0">
    <w:p w14:paraId="61D1C7D2" w14:textId="77777777" w:rsidR="007463F0" w:rsidRDefault="007463F0" w:rsidP="009A573F">
      <w:pPr>
        <w:spacing w:after="0" w:line="240" w:lineRule="auto"/>
      </w:pPr>
      <w:r>
        <w:continuationSeparator/>
      </w:r>
    </w:p>
  </w:footnote>
  <w:footnote w:type="continuationNotice" w:id="1">
    <w:p w14:paraId="39FF92B9" w14:textId="77777777" w:rsidR="007463F0" w:rsidRDefault="00746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367376461"/>
      <w:docPartObj>
        <w:docPartGallery w:val="Page Numbers (Top of Page)"/>
        <w:docPartUnique/>
      </w:docPartObj>
    </w:sdtPr>
    <w:sdtEndPr/>
    <w:sdtContent>
      <w:p w14:paraId="7AC44107" w14:textId="74D5251C" w:rsidR="008022B0" w:rsidRPr="00A247F3" w:rsidRDefault="008022B0" w:rsidP="00016F75">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8E032C" w:rsidRPr="008E032C">
          <w:rPr>
            <w:rFonts w:cstheme="minorHAnsi"/>
            <w:sz w:val="16"/>
            <w:szCs w:val="16"/>
          </w:rPr>
          <w:t>сентябрь</w:t>
        </w:r>
        <w:r>
          <w:rPr>
            <w:sz w:val="16"/>
            <w:szCs w:val="16"/>
          </w:rPr>
          <w:t xml:space="preserve"> </w:t>
        </w:r>
        <w:r w:rsidRPr="00F356CE">
          <w:rPr>
            <w:sz w:val="16"/>
            <w:szCs w:val="16"/>
          </w:rPr>
          <w:t>20</w:t>
        </w:r>
        <w:r w:rsidR="003A06C3">
          <w:rPr>
            <w:sz w:val="16"/>
            <w:szCs w:val="16"/>
            <w:lang w:val="en-US"/>
          </w:rPr>
          <w:t>20</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488787003"/>
      <w:docPartObj>
        <w:docPartGallery w:val="Page Numbers (Top of Page)"/>
        <w:docPartUnique/>
      </w:docPartObj>
    </w:sdtPr>
    <w:sdtEndPr/>
    <w:sdtContent>
      <w:p w14:paraId="2A248024" w14:textId="43D4D3B2" w:rsidR="008022B0" w:rsidRPr="00A247F3" w:rsidRDefault="008022B0" w:rsidP="00532759">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8E032C" w:rsidRPr="008E032C">
          <w:rPr>
            <w:rFonts w:cstheme="minorHAnsi"/>
            <w:sz w:val="16"/>
            <w:szCs w:val="16"/>
          </w:rPr>
          <w:t>сентябрь</w:t>
        </w:r>
        <w:r>
          <w:rPr>
            <w:sz w:val="16"/>
            <w:szCs w:val="16"/>
          </w:rPr>
          <w:t xml:space="preserve"> </w:t>
        </w:r>
        <w:r w:rsidRPr="00F356CE">
          <w:rPr>
            <w:sz w:val="16"/>
            <w:szCs w:val="16"/>
          </w:rPr>
          <w:t>20</w:t>
        </w:r>
        <w:r w:rsidR="003A06C3">
          <w:rPr>
            <w:sz w:val="16"/>
            <w:szCs w:val="16"/>
            <w:lang w:val="en-US"/>
          </w:rPr>
          <w:t>20</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hDpAUn1p1DfswlmpL7dfRxEJqpxSG6EaaOgKYdm4scnn4fODLh5HcmGPskSbHAqs99TonN9RsjIZhYAgn3UdjQ==" w:salt="9cm8d3XrOyylLfVfH06z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0B7"/>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763"/>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92E"/>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914"/>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2AA0"/>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3D8E"/>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BC8"/>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6C3"/>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E7A82"/>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058B"/>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193"/>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68D"/>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63F0"/>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73F"/>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2B0"/>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32C"/>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D76"/>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59D6"/>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601"/>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0CB3"/>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5F3E"/>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4D2D"/>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2D01"/>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800"/>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034"/>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57E"/>
    <w:rsid w:val="00EF5E58"/>
    <w:rsid w:val="00EF63DA"/>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A6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 w:type="table" w:customStyle="1" w:styleId="TableGrid2">
    <w:name w:val="Table Grid2"/>
    <w:basedOn w:val="TableNormal"/>
    <w:next w:val="TableGrid"/>
    <w:uiPriority w:val="39"/>
    <w:rsid w:val="0063768D"/>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9344605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85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go.microsoft.com/fwlink/?LinkID=248686" TargetMode="External"/><Relationship Id="rId42" Type="http://schemas.openxmlformats.org/officeDocument/2006/relationships/footer" Target="footer26.xml"/><Relationship Id="rId47" Type="http://schemas.openxmlformats.org/officeDocument/2006/relationships/hyperlink" Target="https://www.microsoft.com/RU-RU/privacystatement/SQLServer/Default.aspx" TargetMode="External"/><Relationship Id="rId63" Type="http://schemas.openxmlformats.org/officeDocument/2006/relationships/footer" Target="footer42.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utilitie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yperlink" Target="http://download.microsoft.com/download/D/B/3/DB37B5D3-7796-4536-AC8D-8EFDB95CD52F/Team-Members-Grandfathering.pdf" TargetMode="External"/><Relationship Id="rId43" Type="http://schemas.openxmlformats.org/officeDocument/2006/relationships/footer" Target="footer27.xml"/><Relationship Id="rId48" Type="http://schemas.openxmlformats.org/officeDocument/2006/relationships/hyperlink" Target="https://aka.ms/sqlserversplatelemetry" TargetMode="Externa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go.microsoft.com/fwlink/?LinkID=229882" TargetMode="External"/><Relationship Id="rId38" Type="http://schemas.openxmlformats.org/officeDocument/2006/relationships/footer" Target="footer22.xml"/><Relationship Id="rId46" Type="http://schemas.openxmlformats.org/officeDocument/2006/relationships/footer" Target="footer30.xml"/><Relationship Id="rId59" Type="http://schemas.openxmlformats.org/officeDocument/2006/relationships/hyperlink" Target="https://aka.ms/vs/16/redistribution" TargetMode="External"/><Relationship Id="rId67" Type="http://schemas.openxmlformats.org/officeDocument/2006/relationships/theme" Target="theme/theme1.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1.xml"/><Relationship Id="rId57" Type="http://schemas.openxmlformats.org/officeDocument/2006/relationships/footer" Target="footer38.xml"/><Relationship Id="rId10" Type="http://schemas.openxmlformats.org/officeDocument/2006/relationships/footer" Target="footer2.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 Id="rId34" Type="http://schemas.openxmlformats.org/officeDocument/2006/relationships/footer" Target="footer19.xml"/><Relationship Id="rId50" Type="http://schemas.openxmlformats.org/officeDocument/2006/relationships/hyperlink" Target="http://go.microsoft.com/fwlink/?LinkId=290987" TargetMode="Externa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40696-BD9C-4B87-8E73-1BF1873A05EB}">
  <ds:schemaRefs>
    <ds:schemaRef ds:uri="http://schemas.openxmlformats.org/officeDocument/2006/bibliography"/>
  </ds:schemaRefs>
</ds:datastoreItem>
</file>

<file path=customXml/itemProps2.xml><?xml version="1.0" encoding="utf-8"?>
<ds:datastoreItem xmlns:ds="http://schemas.openxmlformats.org/officeDocument/2006/customXml" ds:itemID="{0B833F7A-615C-494E-9D50-F0E8FED30A75}"/>
</file>

<file path=customXml/itemProps3.xml><?xml version="1.0" encoding="utf-8"?>
<ds:datastoreItem xmlns:ds="http://schemas.openxmlformats.org/officeDocument/2006/customXml" ds:itemID="{A86CC741-6052-4EE4-A929-314B653528A6}"/>
</file>

<file path=customXml/itemProps4.xml><?xml version="1.0" encoding="utf-8"?>
<ds:datastoreItem xmlns:ds="http://schemas.openxmlformats.org/officeDocument/2006/customXml" ds:itemID="{5426467D-0A5D-4196-8572-330519FE4522}"/>
</file>

<file path=docProps/app.xml><?xml version="1.0" encoding="utf-8"?>
<Properties xmlns="http://schemas.openxmlformats.org/officeDocument/2006/extended-properties" xmlns:vt="http://schemas.openxmlformats.org/officeDocument/2006/docPropsVTypes">
  <Template>Normal</Template>
  <TotalTime>0</TotalTime>
  <Pages>16</Pages>
  <Words>56378</Words>
  <Characters>321359</Characters>
  <Application>Microsoft Office Word</Application>
  <DocSecurity>8</DocSecurity>
  <Lines>2677</Lines>
  <Paragraphs>753</Paragraphs>
  <ScaleCrop>false</ScaleCrop>
  <Company/>
  <LinksUpToDate>false</LinksUpToDate>
  <CharactersWithSpaces>376984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2020-08-28T17:15:00Z</dcterms:created>
  <dcterms:modified xsi:type="dcterms:W3CDTF">2020-08-28T17:15:00Z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